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Praxis Precision 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2,468,413.00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2,468,413.00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2,468,413.00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4,067.00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4,067.00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Praxis Precision Medicines,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 HIGH STREET, 30TH FLOOR, BOSTON, MASSACHUSETTS 02110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00"/>
        <w:spacing w:after="0" w:line="286" w:lineRule="auto"/>
        <w:rPr>
          <w:sz w:val="20"/>
          <w:szCs w:val="20"/>
          <w:color w:val="auto"/>
        </w:rPr>
      </w:pPr>
      <w:r>
        <w:rPr>
          <w:rFonts w:ascii="Times New Roman" w:cs="Times New Roman" w:eastAsia="Times New Roman" w:hAnsi="Times New Roman"/>
          <w:sz w:val="22"/>
          <w:szCs w:val="22"/>
          <w:color w:val="auto"/>
        </w:rPr>
        <w:t>ORBIS INVESTMENT MANAGEMENT LTD Allan Gray Australia Pty Ltd Address or principal business office or, if none, residence:</w:t>
      </w:r>
    </w:p>
    <w:p>
      <w:pPr>
        <w:sectPr>
          <w:pgSz w:w="11900" w:h="16838" w:orient="portrait"/>
          <w:cols w:equalWidth="0" w:num="1">
            <w:col w:w="11120"/>
          </w:cols>
          <w:pgMar w:left="360" w:top="111" w:right="419" w:bottom="46"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ORBIS INVESTMENT MANAGEMENT LTD: Orbis House, 25 Front Street, Hamilton, Bermuda HM11 Allan Gray</w:t>
      </w:r>
    </w:p>
    <w:p>
      <w:pPr>
        <w:spacing w:after="0" w:line="26" w:lineRule="exact"/>
        <w:rPr>
          <w:sz w:val="20"/>
          <w:szCs w:val="20"/>
          <w:color w:val="auto"/>
        </w:rPr>
      </w:pPr>
    </w:p>
    <w:p>
      <w:pPr>
        <w:ind w:right="2600"/>
        <w:spacing w:after="0" w:line="286" w:lineRule="auto"/>
        <w:rPr>
          <w:sz w:val="20"/>
          <w:szCs w:val="20"/>
          <w:color w:val="auto"/>
        </w:rPr>
      </w:pPr>
      <w:r>
        <w:rPr>
          <w:rFonts w:ascii="Times New Roman" w:cs="Times New Roman" w:eastAsia="Times New Roman" w:hAnsi="Times New Roman"/>
          <w:sz w:val="22"/>
          <w:szCs w:val="22"/>
          <w:color w:val="auto"/>
        </w:rPr>
        <w:t>Australia Pty Ltd: Level 2, Challis House, 4 Martin Place, Sydney NSW2000, Australia Citizenship:</w:t>
      </w:r>
    </w:p>
    <w:p>
      <w:pPr>
        <w:spacing w:after="0" w:line="156" w:lineRule="exact"/>
        <w:rPr>
          <w:sz w:val="20"/>
          <w:szCs w:val="20"/>
          <w:color w:val="auto"/>
        </w:rPr>
      </w:pPr>
    </w:p>
    <w:p>
      <w:pPr>
        <w:ind w:right="820"/>
        <w:spacing w:after="0" w:line="309" w:lineRule="auto"/>
        <w:rPr>
          <w:sz w:val="20"/>
          <w:szCs w:val="20"/>
          <w:color w:val="auto"/>
        </w:rPr>
      </w:pPr>
      <w:r>
        <w:rPr>
          <w:rFonts w:ascii="Times New Roman" w:cs="Times New Roman" w:eastAsia="Times New Roman" w:hAnsi="Times New Roman"/>
          <w:sz w:val="22"/>
          <w:szCs w:val="22"/>
          <w:color w:val="auto"/>
        </w:rPr>
        <w:t>ORBIS INVESTMENT MANAGEMENT LTD - BERMUDA Allan Gray Australia Pty Ltd - AUSTRALIA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Equivalent to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2,472,480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200"/>
          </w:cols>
          <w:pgMar w:left="360" w:top="111" w:right="41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1" w:right="41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ORBIS INVESTMENT MANAGEMENT LTD - 2,468,413 Allan Gray Australia Pty Ltd - 4,067</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- 2,468,413 Allan Gray Australia Pty Ltd - 4,067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60"/>
        <w:spacing w:after="0" w:line="235" w:lineRule="auto"/>
        <w:rPr>
          <w:sz w:val="20"/>
          <w:szCs w:val="20"/>
          <w:color w:val="auto"/>
        </w:rPr>
      </w:pPr>
      <w:r>
        <w:rPr>
          <w:rFonts w:ascii="Times New Roman" w:cs="Times New Roman" w:eastAsia="Times New Roman" w:hAnsi="Times New Roman"/>
          <w:sz w:val="22"/>
          <w:szCs w:val="22"/>
          <w:color w:val="auto"/>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0" w:gutter="0" w:footer="0" w:header="0"/>
          <w:type w:val="continuous"/>
        </w:sectPr>
      </w:pPr>
    </w:p>
    <w:bookmarkStart w:id="4" w:name="page5"/>
    <w:bookmarkEnd w:id="4"/>
    <w:p>
      <w:pPr>
        <w:jc w:val="right"/>
        <w:ind w:right="1639"/>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2026-05-15T12:18:58Z</dcterms:created>
  <dcterms:modified xsi:type="dcterms:W3CDTF">2026-05-15T12:18:58Z</dcterms:modified>
</cp:coreProperties>
</file>