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sans-serif" w:hAnsi="Arial;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Commission File Number: 001-39620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PRAXIS PRECISION MEDICINES,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230" w:type="dxa"/>
        <w:jc w:val="left"/>
        <w:tblInd w:w="0" w:type="dxa"/>
        <w:tblLayout w:type="fixed"/>
        <w:tblCellMar>
          <w:top w:w="28" w:type="dxa"/>
          <w:left w:w="28" w:type="dxa"/>
          <w:bottom w:w="28" w:type="dxa"/>
          <w:right w:w="28" w:type="dxa"/>
        </w:tblCellMar>
      </w:tblPr>
      <w:tblGrid>
        <w:gridCol w:w="894"/>
        <w:gridCol w:w="785"/>
        <w:gridCol w:w="785"/>
        <w:gridCol w:w="785"/>
        <w:gridCol w:w="785"/>
        <w:gridCol w:w="825"/>
        <w:gridCol w:w="109"/>
        <w:gridCol w:w="109"/>
        <w:gridCol w:w="109"/>
        <w:gridCol w:w="889"/>
        <w:gridCol w:w="889"/>
        <w:gridCol w:w="1266"/>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47-5195942</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(I.R.S. Employer Identification No.)</w:t>
            </w:r>
          </w:p>
        </w:tc>
      </w:tr>
      <w:tr>
        <w:trPr/>
        <w:tc>
          <w:tcPr>
            <w:tcW w:w="2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99 High Street, 30th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Boston,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02110</w:t>
            </w:r>
          </w:p>
        </w:tc>
      </w:tr>
      <w:tr>
        <w:trPr/>
        <w:tc>
          <w:tcPr>
            <w:tcW w:w="48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617-300-8460</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(Registrant's telephone number, including area code)</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8467" w:type="dxa"/>
        <w:jc w:val="left"/>
        <w:tblInd w:w="0" w:type="dxa"/>
        <w:tblLayout w:type="fixed"/>
        <w:tblCellMar>
          <w:top w:w="28" w:type="dxa"/>
          <w:left w:w="28" w:type="dxa"/>
          <w:bottom w:w="28" w:type="dxa"/>
          <w:right w:w="28" w:type="dxa"/>
        </w:tblCellMar>
      </w:tblPr>
      <w:tblGrid>
        <w:gridCol w:w="1415"/>
        <w:gridCol w:w="1242"/>
        <w:gridCol w:w="1257"/>
        <w:gridCol w:w="109"/>
        <w:gridCol w:w="109"/>
        <w:gridCol w:w="109"/>
        <w:gridCol w:w="304"/>
        <w:gridCol w:w="304"/>
        <w:gridCol w:w="306"/>
        <w:gridCol w:w="109"/>
        <w:gridCol w:w="109"/>
        <w:gridCol w:w="109"/>
        <w:gridCol w:w="874"/>
        <w:gridCol w:w="874"/>
        <w:gridCol w:w="1237"/>
      </w:tblGrid>
      <w:tr>
        <w:trPr/>
        <w:tc>
          <w:tcPr>
            <w:tcW w:w="141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8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3"/>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   Yes  ☐   No  ☒</w:t>
      </w:r>
    </w:p>
    <w:p>
      <w:pPr>
        <w:pStyle w:val="TextBody"/>
        <w:bidi w:val="0"/>
        <w:spacing w:lineRule="auto" w:line="288" w:before="120" w:after="283"/>
        <w:ind w:left="0" w:right="0" w:firstLine="495"/>
        <w:jc w:val="left"/>
        <w:rPr>
          <w:rFonts w:ascii="Arial;sans-serif" w:hAnsi="Arial;sans-serif"/>
          <w:b w:val="false"/>
          <w:color w:val="000000"/>
          <w:sz w:val="18"/>
        </w:rPr>
      </w:pPr>
      <w:r>
        <w:rPr>
          <w:rFonts w:ascii="Arial;sans-serif" w:hAnsi="Arial;sans-serif"/>
          <w:b w:val="false"/>
          <w:color w:val="000000"/>
          <w:sz w:val="18"/>
        </w:rPr>
        <w:t>As of July 31, 2026, the registrant had 27,919,988 shares of common stock, $0.0001 par value per share,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expectations surrounding potential regulatory submissions, progress or approvals and timing thereof for any of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success, cost and timing of our product candidate development activities and clinical trials;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expectations regarding our ability to obtain and maintain intellectual property protection for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ability to license additional intellectual property relating to our product candidates from third parties and to comply with our existing license agreements and collaboration agreements;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ability and willingness of our third-party research institution collaborators to continue research and development activities relating to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commercialize our product candidates, if approved, in light of the intellectual property rights of others;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fund our operations and obtain additional funding, if necessary, to complete further development and, if approved, commercialization of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commercialization of our product candidates, if approved;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plans to research, develop and, if approved, commercialize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future agreements with third parties in connection with the commercialization of our product candidates, if approved, and any other approved product;</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size and growth potential of the markets for our product candidates, and our ability to serve those markets;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rate and degree of market acceptance of our product candidates, if approved;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pricing and reimbursement of our product candidates, if approved;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regulatory developments in the United States and foreign countries;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contract with third-party suppliers and manufacturers and their ability to perform adequately;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success of competing therapies that are or may become available;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attract and retain key scientific or management personnel;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accuracy of our estimates regarding expenses, future revenue, capital requirements and needs for additional financing.</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sections titled "Risk Factors" in our Annual Report on Form 10-K for the year ended December 31, 2025.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4"/>
        <w:gridCol w:w="2924"/>
        <w:gridCol w:w="2924"/>
        <w:gridCol w:w="2929"/>
        <w:gridCol w:w="158"/>
        <w:gridCol w:w="158"/>
        <w:gridCol w:w="22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3">
              <w:r>
                <w:rPr>
                  <w:rStyle w:val="InternetLink"/>
                  <w:rFonts w:ascii="Arial;sans-serif" w:hAnsi="Arial;sans-serif"/>
                  <w:b w:val="false"/>
                  <w:color w:val="0000FF"/>
                  <w:sz w:val="20"/>
                  <w:u w:val="single"/>
                </w:rPr>
                <w:t>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6">
              <w:r>
                <w:rPr>
                  <w:rStyle w:val="InternetLink"/>
                  <w:rFonts w:ascii="Arial;sans-serif" w:hAnsi="Arial;sans-serif"/>
                  <w:b w:val="false"/>
                  <w:color w:val="0000FF"/>
                  <w:sz w:val="20"/>
                  <w:u w:val="single"/>
                </w:rPr>
                <w:t>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9">
              <w:r>
                <w:rPr>
                  <w:rStyle w:val="InternetLink"/>
                  <w:rFonts w:ascii="Arial;sans-serif" w:hAnsi="Arial;sans-serif"/>
                  <w:b w:val="false"/>
                  <w:color w:val="000080"/>
                  <w:sz w:val="20"/>
                  <w:u w:val="single"/>
                </w:rPr>
                <w:t xml:space="preserve">Condensed Consolidated Balance Sheets as of </w:t>
              </w:r>
            </w:hyperlink>
            <w:hyperlink w:anchor="i5876a7d093424cfd882d0822041de5d5_19">
              <w:r>
                <w:rPr>
                  <w:rStyle w:val="InternetLink"/>
                  <w:rFonts w:ascii="Arial;sans-serif" w:hAnsi="Arial;sans-serif"/>
                  <w:b w:val="false"/>
                  <w:color w:val="000080"/>
                  <w:sz w:val="20"/>
                  <w:u w:val="single"/>
                </w:rPr>
                <w:t>June</w:t>
              </w:r>
            </w:hyperlink>
            <w:hyperlink w:anchor="i5876a7d093424cfd882d0822041de5d5_19">
              <w:r>
                <w:rPr>
                  <w:rStyle w:val="InternetLink"/>
                  <w:rFonts w:ascii="Arial;sans-serif" w:hAnsi="Arial;sans-serif"/>
                  <w:b w:val="false"/>
                  <w:color w:val="000080"/>
                  <w:sz w:val="20"/>
                  <w:u w:val="single"/>
                </w:rPr>
                <w:t xml:space="preserve"> 3</w:t>
              </w:r>
            </w:hyperlink>
            <w:hyperlink w:anchor="i5876a7d093424cfd882d0822041de5d5_19">
              <w:r>
                <w:rPr>
                  <w:rStyle w:val="InternetLink"/>
                  <w:rFonts w:ascii="Arial;sans-serif" w:hAnsi="Arial;sans-serif"/>
                  <w:b w:val="false"/>
                  <w:color w:val="000080"/>
                  <w:sz w:val="20"/>
                  <w:u w:val="single"/>
                </w:rPr>
                <w:t>0</w:t>
              </w:r>
            </w:hyperlink>
            <w:hyperlink w:anchor="i5876a7d093424cfd882d0822041de5d5_19">
              <w:r>
                <w:rPr>
                  <w:rStyle w:val="InternetLink"/>
                  <w:rFonts w:ascii="Arial;sans-serif" w:hAnsi="Arial;sans-serif"/>
                  <w:b w:val="false"/>
                  <w:color w:val="000080"/>
                  <w:sz w:val="20"/>
                  <w:u w:val="single"/>
                </w:rPr>
                <w:t>, 2026 and December 31,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9">
              <w:r>
                <w:rPr>
                  <w:rStyle w:val="InternetLink"/>
                  <w:rFonts w:ascii="Arial;sans-serif" w:hAnsi="Arial;sans-serif"/>
                  <w:b w:val="false"/>
                  <w:color w:val="0000FF"/>
                  <w:sz w:val="20"/>
                  <w:u w:val="singl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22">
              <w:r>
                <w:rPr>
                  <w:rStyle w:val="InternetLink"/>
                  <w:rFonts w:ascii="Arial;sans-serif" w:hAnsi="Arial;sans-serif"/>
                  <w:b w:val="false"/>
                  <w:color w:val="000080"/>
                  <w:sz w:val="20"/>
                  <w:u w:val="single"/>
                </w:rPr>
                <w:t xml:space="preserve">Condensed Consolidated Statements of Operations for the Three </w:t>
              </w:r>
            </w:hyperlink>
            <w:hyperlink w:anchor="i5876a7d093424cfd882d0822041de5d5_22">
              <w:r>
                <w:rPr>
                  <w:rStyle w:val="InternetLink"/>
                  <w:rFonts w:ascii="Arial;sans-serif" w:hAnsi="Arial;sans-serif"/>
                  <w:b w:val="false"/>
                  <w:color w:val="000080"/>
                  <w:sz w:val="20"/>
                  <w:u w:val="single"/>
                </w:rPr>
                <w:t>and S</w:t>
              </w:r>
            </w:hyperlink>
            <w:hyperlink w:anchor="i5876a7d093424cfd882d0822041de5d5_22">
              <w:r>
                <w:rPr>
                  <w:rStyle w:val="InternetLink"/>
                  <w:rFonts w:ascii="Arial;sans-serif" w:hAnsi="Arial;sans-serif"/>
                  <w:b w:val="false"/>
                  <w:color w:val="000080"/>
                  <w:sz w:val="20"/>
                  <w:u w:val="single"/>
                </w:rPr>
                <w:t xml:space="preserve">ix </w:t>
              </w:r>
            </w:hyperlink>
            <w:hyperlink w:anchor="i5876a7d093424cfd882d0822041de5d5_22">
              <w:r>
                <w:rPr>
                  <w:rStyle w:val="InternetLink"/>
                  <w:rFonts w:ascii="Arial;sans-serif" w:hAnsi="Arial;sans-serif"/>
                  <w:b w:val="false"/>
                  <w:color w:val="000080"/>
                  <w:sz w:val="20"/>
                  <w:u w:val="single"/>
                </w:rPr>
                <w:t xml:space="preserve">Months Ended </w:t>
              </w:r>
            </w:hyperlink>
            <w:hyperlink w:anchor="i5876a7d093424cfd882d0822041de5d5_22">
              <w:r>
                <w:rPr>
                  <w:rStyle w:val="InternetLink"/>
                  <w:rFonts w:ascii="Arial;sans-serif" w:hAnsi="Arial;sans-serif"/>
                  <w:b w:val="false"/>
                  <w:color w:val="000080"/>
                  <w:sz w:val="20"/>
                  <w:u w:val="single"/>
                </w:rPr>
                <w:t>June</w:t>
              </w:r>
            </w:hyperlink>
            <w:hyperlink w:anchor="i5876a7d093424cfd882d0822041de5d5_22">
              <w:r>
                <w:rPr>
                  <w:rStyle w:val="InternetLink"/>
                  <w:rFonts w:ascii="Arial;sans-serif" w:hAnsi="Arial;sans-serif"/>
                  <w:b w:val="false"/>
                  <w:color w:val="000080"/>
                  <w:sz w:val="20"/>
                  <w:u w:val="single"/>
                </w:rPr>
                <w:t xml:space="preserve"> 3</w:t>
              </w:r>
            </w:hyperlink>
            <w:hyperlink w:anchor="i5876a7d093424cfd882d0822041de5d5_22">
              <w:r>
                <w:rPr>
                  <w:rStyle w:val="InternetLink"/>
                  <w:rFonts w:ascii="Arial;sans-serif" w:hAnsi="Arial;sans-serif"/>
                  <w:b w:val="false"/>
                  <w:color w:val="000080"/>
                  <w:sz w:val="20"/>
                  <w:u w:val="single"/>
                </w:rPr>
                <w:t>0</w:t>
              </w:r>
            </w:hyperlink>
            <w:hyperlink w:anchor="i5876a7d093424cfd882d0822041de5d5_22">
              <w:r>
                <w:rPr>
                  <w:rStyle w:val="InternetLink"/>
                  <w:rFonts w:ascii="Arial;sans-serif" w:hAnsi="Arial;sans-serif"/>
                  <w:b w:val="false"/>
                  <w:color w:val="000080"/>
                  <w:sz w:val="20"/>
                  <w:u w:val="single"/>
                </w:rPr>
                <w:t>,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22">
              <w:r>
                <w:rPr>
                  <w:rStyle w:val="InternetLink"/>
                  <w:rFonts w:ascii="Arial;sans-serif" w:hAnsi="Arial;sans-serif"/>
                  <w:b w:val="false"/>
                  <w:color w:val="0000FF"/>
                  <w:sz w:val="20"/>
                  <w:u w:val="singl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25">
              <w:r>
                <w:rPr>
                  <w:rStyle w:val="InternetLink"/>
                  <w:rFonts w:ascii="Arial;sans-serif" w:hAnsi="Arial;sans-serif"/>
                  <w:b w:val="false"/>
                  <w:color w:val="000080"/>
                  <w:sz w:val="20"/>
                  <w:u w:val="single"/>
                </w:rPr>
                <w:t xml:space="preserve">Condensed Consolidated Statements of Comprehensive Loss for </w:t>
              </w:r>
            </w:hyperlink>
            <w:hyperlink w:anchor="i5876a7d093424cfd882d0822041de5d5_22">
              <w:r>
                <w:rPr>
                  <w:rStyle w:val="InternetLink"/>
                  <w:rFonts w:ascii="Arial;sans-serif" w:hAnsi="Arial;sans-serif"/>
                  <w:b w:val="false"/>
                  <w:color w:val="000080"/>
                  <w:sz w:val="20"/>
                  <w:u w:val="single"/>
                </w:rPr>
                <w:t xml:space="preserve">the Three </w:t>
              </w:r>
            </w:hyperlink>
            <w:hyperlink w:anchor="i5876a7d093424cfd882d0822041de5d5_22">
              <w:r>
                <w:rPr>
                  <w:rStyle w:val="InternetLink"/>
                  <w:rFonts w:ascii="Arial;sans-serif" w:hAnsi="Arial;sans-serif"/>
                  <w:b w:val="false"/>
                  <w:color w:val="000080"/>
                  <w:sz w:val="20"/>
                  <w:u w:val="single"/>
                </w:rPr>
                <w:t>and S</w:t>
              </w:r>
            </w:hyperlink>
            <w:hyperlink w:anchor="i5876a7d093424cfd882d0822041de5d5_22">
              <w:r>
                <w:rPr>
                  <w:rStyle w:val="InternetLink"/>
                  <w:rFonts w:ascii="Arial;sans-serif" w:hAnsi="Arial;sans-serif"/>
                  <w:b w:val="false"/>
                  <w:color w:val="000080"/>
                  <w:sz w:val="20"/>
                  <w:u w:val="single"/>
                </w:rPr>
                <w:t xml:space="preserve">ix </w:t>
              </w:r>
            </w:hyperlink>
            <w:hyperlink w:anchor="i5876a7d093424cfd882d0822041de5d5_22">
              <w:r>
                <w:rPr>
                  <w:rStyle w:val="InternetLink"/>
                  <w:rFonts w:ascii="Arial;sans-serif" w:hAnsi="Arial;sans-serif"/>
                  <w:b w:val="false"/>
                  <w:color w:val="000080"/>
                  <w:sz w:val="20"/>
                  <w:u w:val="single"/>
                </w:rPr>
                <w:t xml:space="preserve">Months Ended </w:t>
              </w:r>
            </w:hyperlink>
            <w:hyperlink w:anchor="i5876a7d093424cfd882d0822041de5d5_22">
              <w:r>
                <w:rPr>
                  <w:rStyle w:val="InternetLink"/>
                  <w:rFonts w:ascii="Arial;sans-serif" w:hAnsi="Arial;sans-serif"/>
                  <w:b w:val="false"/>
                  <w:color w:val="000080"/>
                  <w:sz w:val="20"/>
                  <w:u w:val="single"/>
                </w:rPr>
                <w:t>June</w:t>
              </w:r>
            </w:hyperlink>
            <w:hyperlink w:anchor="i5876a7d093424cfd882d0822041de5d5_22">
              <w:r>
                <w:rPr>
                  <w:rStyle w:val="InternetLink"/>
                  <w:rFonts w:ascii="Arial;sans-serif" w:hAnsi="Arial;sans-serif"/>
                  <w:b w:val="false"/>
                  <w:color w:val="000080"/>
                  <w:sz w:val="20"/>
                  <w:u w:val="single"/>
                </w:rPr>
                <w:t xml:space="preserve"> 3</w:t>
              </w:r>
            </w:hyperlink>
            <w:hyperlink w:anchor="i5876a7d093424cfd882d0822041de5d5_22">
              <w:r>
                <w:rPr>
                  <w:rStyle w:val="InternetLink"/>
                  <w:rFonts w:ascii="Arial;sans-serif" w:hAnsi="Arial;sans-serif"/>
                  <w:b w:val="false"/>
                  <w:color w:val="000080"/>
                  <w:sz w:val="20"/>
                  <w:u w:val="single"/>
                </w:rPr>
                <w:t>0</w:t>
              </w:r>
            </w:hyperlink>
            <w:hyperlink w:anchor="i5876a7d093424cfd882d0822041de5d5_22">
              <w:r>
                <w:rPr>
                  <w:rStyle w:val="InternetLink"/>
                  <w:rFonts w:ascii="Arial;sans-serif" w:hAnsi="Arial;sans-serif"/>
                  <w:b w:val="false"/>
                  <w:color w:val="000080"/>
                  <w:sz w:val="20"/>
                  <w:u w:val="single"/>
                </w:rPr>
                <w:t>,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25">
              <w:r>
                <w:rPr>
                  <w:rStyle w:val="InternetLink"/>
                  <w:rFonts w:ascii="Arial;sans-serif" w:hAnsi="Arial;sans-serif"/>
                  <w:b w:val="false"/>
                  <w:color w:val="0000FF"/>
                  <w:sz w:val="20"/>
                  <w:u w:val="singl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28">
              <w:r>
                <w:rPr>
                  <w:rStyle w:val="InternetLink"/>
                  <w:rFonts w:ascii="Arial;sans-serif" w:hAnsi="Arial;sans-serif"/>
                  <w:b w:val="false"/>
                  <w:color w:val="000080"/>
                  <w:sz w:val="20"/>
                  <w:u w:val="single"/>
                </w:rPr>
                <w:t xml:space="preserve">Condensed Consolidated Statements of Stockholders’ Equity for the Three </w:t>
              </w:r>
            </w:hyperlink>
            <w:hyperlink w:anchor="i5876a7d093424cfd882d0822041de5d5_28">
              <w:r>
                <w:rPr>
                  <w:rStyle w:val="InternetLink"/>
                  <w:rFonts w:ascii="Arial;sans-serif" w:hAnsi="Arial;sans-serif"/>
                  <w:b w:val="false"/>
                  <w:color w:val="000080"/>
                  <w:sz w:val="20"/>
                  <w:u w:val="single"/>
                </w:rPr>
                <w:t xml:space="preserve">and </w:t>
              </w:r>
            </w:hyperlink>
            <w:hyperlink w:anchor="i5876a7d093424cfd882d0822041de5d5_28">
              <w:r>
                <w:rPr>
                  <w:rStyle w:val="InternetLink"/>
                  <w:rFonts w:ascii="Arial;sans-serif" w:hAnsi="Arial;sans-serif"/>
                  <w:b w:val="false"/>
                  <w:color w:val="000080"/>
                  <w:sz w:val="20"/>
                  <w:u w:val="single"/>
                </w:rPr>
                <w:t xml:space="preserve">Six </w:t>
              </w:r>
            </w:hyperlink>
            <w:hyperlink w:anchor="i5876a7d093424cfd882d0822041de5d5_28">
              <w:r>
                <w:rPr>
                  <w:rStyle w:val="InternetLink"/>
                  <w:rFonts w:ascii="Arial;sans-serif" w:hAnsi="Arial;sans-serif"/>
                  <w:b w:val="false"/>
                  <w:color w:val="000080"/>
                  <w:sz w:val="20"/>
                  <w:u w:val="single"/>
                </w:rPr>
                <w:t xml:space="preserve">Months Ended </w:t>
              </w:r>
            </w:hyperlink>
            <w:hyperlink w:anchor="i5876a7d093424cfd882d0822041de5d5_28">
              <w:r>
                <w:rPr>
                  <w:rStyle w:val="InternetLink"/>
                  <w:rFonts w:ascii="Arial;sans-serif" w:hAnsi="Arial;sans-serif"/>
                  <w:b w:val="false"/>
                  <w:color w:val="000080"/>
                  <w:sz w:val="20"/>
                  <w:u w:val="single"/>
                </w:rPr>
                <w:t>June</w:t>
              </w:r>
            </w:hyperlink>
            <w:hyperlink w:anchor="i5876a7d093424cfd882d0822041de5d5_28">
              <w:r>
                <w:rPr>
                  <w:rStyle w:val="InternetLink"/>
                  <w:rFonts w:ascii="Arial;sans-serif" w:hAnsi="Arial;sans-serif"/>
                  <w:b w:val="false"/>
                  <w:color w:val="000080"/>
                  <w:sz w:val="20"/>
                  <w:u w:val="single"/>
                </w:rPr>
                <w:t xml:space="preserve"> 3</w:t>
              </w:r>
            </w:hyperlink>
            <w:hyperlink w:anchor="i5876a7d093424cfd882d0822041de5d5_28">
              <w:r>
                <w:rPr>
                  <w:rStyle w:val="InternetLink"/>
                  <w:rFonts w:ascii="Arial;sans-serif" w:hAnsi="Arial;sans-serif"/>
                  <w:b w:val="false"/>
                  <w:color w:val="000080"/>
                  <w:sz w:val="20"/>
                  <w:u w:val="single"/>
                </w:rPr>
                <w:t>0</w:t>
              </w:r>
            </w:hyperlink>
            <w:hyperlink w:anchor="i5876a7d093424cfd882d0822041de5d5_28">
              <w:r>
                <w:rPr>
                  <w:rStyle w:val="InternetLink"/>
                  <w:rFonts w:ascii="Arial;sans-serif" w:hAnsi="Arial;sans-serif"/>
                  <w:b w:val="false"/>
                  <w:color w:val="000080"/>
                  <w:sz w:val="20"/>
                  <w:u w:val="single"/>
                </w:rPr>
                <w:t>,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28">
              <w:r>
                <w:rPr>
                  <w:rStyle w:val="InternetLink"/>
                  <w:rFonts w:ascii="Arial;sans-serif" w:hAnsi="Arial;sans-serif"/>
                  <w:b w:val="false"/>
                  <w:color w:val="0000FF"/>
                  <w:sz w:val="20"/>
                  <w:u w:val="singl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34">
              <w:r>
                <w:rPr>
                  <w:rStyle w:val="InternetLink"/>
                  <w:rFonts w:ascii="Arial;sans-serif" w:hAnsi="Arial;sans-serif"/>
                  <w:b w:val="false"/>
                  <w:color w:val="000080"/>
                  <w:sz w:val="20"/>
                  <w:u w:val="single"/>
                </w:rPr>
                <w:t xml:space="preserve">Condensed Consolidated Statements of Cash Flows for the </w:t>
              </w:r>
            </w:hyperlink>
            <w:hyperlink w:anchor="i5876a7d093424cfd882d0822041de5d5_34">
              <w:r>
                <w:rPr>
                  <w:rStyle w:val="InternetLink"/>
                  <w:rFonts w:ascii="Arial;sans-serif" w:hAnsi="Arial;sans-serif"/>
                  <w:b w:val="false"/>
                  <w:color w:val="000080"/>
                  <w:sz w:val="20"/>
                  <w:u w:val="single"/>
                </w:rPr>
                <w:t>Six</w:t>
              </w:r>
            </w:hyperlink>
            <w:hyperlink w:anchor="i5876a7d093424cfd882d0822041de5d5_34">
              <w:r>
                <w:rPr>
                  <w:rStyle w:val="InternetLink"/>
                  <w:rFonts w:ascii="Arial;sans-serif" w:hAnsi="Arial;sans-serif"/>
                  <w:b w:val="false"/>
                  <w:color w:val="000080"/>
                  <w:sz w:val="20"/>
                  <w:u w:val="single"/>
                </w:rPr>
                <w:t xml:space="preserve"> Months Ended </w:t>
              </w:r>
            </w:hyperlink>
            <w:hyperlink w:anchor="i5876a7d093424cfd882d0822041de5d5_34">
              <w:r>
                <w:rPr>
                  <w:rStyle w:val="InternetLink"/>
                  <w:rFonts w:ascii="Arial;sans-serif" w:hAnsi="Arial;sans-serif"/>
                  <w:b w:val="false"/>
                  <w:color w:val="000080"/>
                  <w:sz w:val="20"/>
                  <w:u w:val="single"/>
                </w:rPr>
                <w:t>June</w:t>
              </w:r>
            </w:hyperlink>
            <w:hyperlink w:anchor="i5876a7d093424cfd882d0822041de5d5_34">
              <w:r>
                <w:rPr>
                  <w:rStyle w:val="InternetLink"/>
                  <w:rFonts w:ascii="Arial;sans-serif" w:hAnsi="Arial;sans-serif"/>
                  <w:b w:val="false"/>
                  <w:color w:val="000080"/>
                  <w:sz w:val="20"/>
                  <w:u w:val="single"/>
                </w:rPr>
                <w:t xml:space="preserve"> 3</w:t>
              </w:r>
            </w:hyperlink>
            <w:hyperlink w:anchor="i5876a7d093424cfd882d0822041de5d5_34">
              <w:r>
                <w:rPr>
                  <w:rStyle w:val="InternetLink"/>
                  <w:rFonts w:ascii="Arial;sans-serif" w:hAnsi="Arial;sans-serif"/>
                  <w:b w:val="false"/>
                  <w:color w:val="000080"/>
                  <w:sz w:val="20"/>
                  <w:u w:val="single"/>
                </w:rPr>
                <w:t>0</w:t>
              </w:r>
            </w:hyperlink>
            <w:hyperlink w:anchor="i5876a7d093424cfd882d0822041de5d5_34">
              <w:r>
                <w:rPr>
                  <w:rStyle w:val="InternetLink"/>
                  <w:rFonts w:ascii="Arial;sans-serif" w:hAnsi="Arial;sans-serif"/>
                  <w:b w:val="false"/>
                  <w:color w:val="000080"/>
                  <w:sz w:val="20"/>
                  <w:u w:val="single"/>
                </w:rPr>
                <w:t>, 2026 and 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34">
              <w:r>
                <w:rPr>
                  <w:rStyle w:val="InternetLink"/>
                  <w:rFonts w:ascii="Arial;sans-serif" w:hAnsi="Arial;sans-serif"/>
                  <w:b w:val="false"/>
                  <w:color w:val="0000FF"/>
                  <w:sz w:val="20"/>
                  <w:u w:val="singl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37">
              <w:r>
                <w:rPr>
                  <w:rStyle w:val="InternetLink"/>
                  <w:rFonts w:ascii="Arial;sans-serif" w:hAnsi="Arial;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37">
              <w:r>
                <w:rPr>
                  <w:rStyle w:val="InternetLink"/>
                  <w:rFonts w:ascii="Arial;sans-serif" w:hAnsi="Arial;sans-serif"/>
                  <w:b w:val="false"/>
                  <w:color w:val="0000FF"/>
                  <w:sz w:val="20"/>
                  <w:u w:val="single"/>
                </w:rPr>
                <w:t>7</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79">
              <w:r>
                <w:rPr>
                  <w:rStyle w:val="InternetLink"/>
                  <w:rFonts w:ascii="Arial;sans-serif" w:hAnsi="Arial;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79">
              <w:r>
                <w:rPr>
                  <w:rStyle w:val="InternetLink"/>
                  <w:rFonts w:ascii="Arial;sans-serif" w:hAnsi="Arial;sans-serif"/>
                  <w:b w:val="false"/>
                  <w:color w:val="0000FF"/>
                  <w:sz w:val="20"/>
                  <w:u w:val="single"/>
                </w:rPr>
                <w:t>19</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00">
              <w:r>
                <w:rPr>
                  <w:rStyle w:val="InternetLink"/>
                  <w:rFonts w:ascii="Arial;sans-serif" w:hAnsi="Arial;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00">
              <w:r>
                <w:rPr>
                  <w:rStyle w:val="InternetLink"/>
                  <w:rFonts w:ascii="Arial;sans-serif" w:hAnsi="Arial;sans-serif"/>
                  <w:b w:val="false"/>
                  <w:color w:val="0000FF"/>
                  <w:sz w:val="20"/>
                  <w:u w:val="single"/>
                </w:rPr>
                <w:t>29</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03">
              <w:r>
                <w:rPr>
                  <w:rStyle w:val="InternetLink"/>
                  <w:rFonts w:ascii="Arial;sans-serif" w:hAnsi="Arial;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03">
              <w:r>
                <w:rPr>
                  <w:rStyle w:val="InternetLink"/>
                  <w:rFonts w:ascii="Arial;sans-serif" w:hAnsi="Arial;sans-serif"/>
                  <w:b w:val="false"/>
                  <w:color w:val="0000FF"/>
                  <w:sz w:val="20"/>
                  <w:u w:val="single"/>
                </w:rPr>
                <w:t>30</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06">
              <w:r>
                <w:rPr>
                  <w:rStyle w:val="InternetLink"/>
                  <w:rFonts w:ascii="Arial;sans-serif" w:hAnsi="Arial;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06">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09">
              <w:r>
                <w:rPr>
                  <w:rStyle w:val="InternetLink"/>
                  <w:rFonts w:ascii="Arial;sans-serif" w:hAnsi="Arial;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09">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12">
              <w:r>
                <w:rPr>
                  <w:rStyle w:val="InternetLink"/>
                  <w:rFonts w:ascii="Arial;sans-serif" w:hAnsi="Arial;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12">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15">
              <w:r>
                <w:rPr>
                  <w:rStyle w:val="InternetLink"/>
                  <w:rFonts w:ascii="Arial;sans-serif" w:hAnsi="Arial;sans-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15">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18">
              <w:r>
                <w:rPr>
                  <w:rStyle w:val="InternetLink"/>
                  <w:rFonts w:ascii="Arial;sans-serif" w:hAnsi="Arial;sans-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18">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21">
              <w:r>
                <w:rPr>
                  <w:rStyle w:val="InternetLink"/>
                  <w:rFonts w:ascii="Arial;sans-serif" w:hAnsi="Arial;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21">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24">
              <w:r>
                <w:rPr>
                  <w:rStyle w:val="InternetLink"/>
                  <w:rFonts w:ascii="Arial;sans-serif" w:hAnsi="Arial;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24">
              <w:r>
                <w:rPr>
                  <w:rStyle w:val="InternetLink"/>
                  <w:rFonts w:ascii="Arial;sans-serif" w:hAnsi="Arial;sans-serif"/>
                  <w:b w:val="false"/>
                  <w:color w:val="0000FF"/>
                  <w:sz w:val="20"/>
                  <w:u w:val="single"/>
                </w:rPr>
                <w:t>31</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30">
              <w:r>
                <w:rPr>
                  <w:rStyle w:val="InternetLink"/>
                  <w:rFonts w:ascii="Arial;sans-serif" w:hAnsi="Arial;sans-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30">
              <w:r>
                <w:rPr>
                  <w:rStyle w:val="InternetLink"/>
                  <w:rFonts w:ascii="Arial;sans-serif" w:hAnsi="Arial;sans-serif"/>
                  <w:b w:val="false"/>
                  <w:color w:val="0000FF"/>
                  <w:sz w:val="20"/>
                  <w:u w:val="singl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76a7d093424cfd882d0822041de5d5_133">
              <w:r>
                <w:rPr>
                  <w:rStyle w:val="InternetLink"/>
                  <w:rFonts w:ascii="Arial;sans-serif" w:hAnsi="Arial;sans-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76a7d093424cfd882d0822041de5d5_133">
              <w:r>
                <w:rPr>
                  <w:rStyle w:val="InternetLink"/>
                  <w:rFonts w:ascii="Arial;sans-serif" w:hAnsi="Arial;sans-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PRAXIS PRECISION MEDICINES,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2778"/>
        <w:gridCol w:w="2213"/>
        <w:gridCol w:w="2165"/>
        <w:gridCol w:w="211"/>
        <w:gridCol w:w="976"/>
        <w:gridCol w:w="109"/>
        <w:gridCol w:w="109"/>
        <w:gridCol w:w="109"/>
        <w:gridCol w:w="109"/>
        <w:gridCol w:w="252"/>
        <w:gridCol w:w="988"/>
        <w:gridCol w:w="186"/>
      </w:tblGrid>
      <w:tr>
        <w:trPr/>
        <w:tc>
          <w:tcPr>
            <w:tcW w:w="277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610,911 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326,757 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Internal-use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937,907 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59,771 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6)</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value; 10,000,000 shares authorized and no shares issued or outstanding as of June 30, 2026 and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value; 150,000,000 shares authorized; 27,916,593 shares issued and outstanding as of June 30, 2026, and 25,195,092 shares issued and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2,017,566 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(1,140,008)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gain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878,136 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937,907 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PRAXIS PRECISION MEDICINES,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59"/>
        <w:gridCol w:w="1355"/>
        <w:gridCol w:w="1364"/>
        <w:gridCol w:w="240"/>
        <w:gridCol w:w="841"/>
        <w:gridCol w:w="109"/>
        <w:gridCol w:w="109"/>
        <w:gridCol w:w="109"/>
        <w:gridCol w:w="109"/>
        <w:gridCol w:w="240"/>
        <w:gridCol w:w="841"/>
        <w:gridCol w:w="109"/>
        <w:gridCol w:w="109"/>
        <w:gridCol w:w="109"/>
        <w:gridCol w:w="109"/>
        <w:gridCol w:w="211"/>
        <w:gridCol w:w="890"/>
        <w:gridCol w:w="109"/>
        <w:gridCol w:w="109"/>
        <w:gridCol w:w="109"/>
        <w:gridCol w:w="109"/>
        <w:gridCol w:w="211"/>
        <w:gridCol w:w="890"/>
        <w:gridCol w:w="155"/>
      </w:tblGrid>
      <w:tr>
        <w:trPr/>
        <w:tc>
          <w:tcPr>
            <w:tcW w:w="165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basic and 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29,131,375 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21,474,827 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29,008,351 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21,266,490 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PRAXIS PRECISION MEDICINES,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1679"/>
        <w:gridCol w:w="1418"/>
        <w:gridCol w:w="1444"/>
        <w:gridCol w:w="211"/>
        <w:gridCol w:w="786"/>
        <w:gridCol w:w="109"/>
        <w:gridCol w:w="109"/>
        <w:gridCol w:w="109"/>
        <w:gridCol w:w="109"/>
        <w:gridCol w:w="211"/>
        <w:gridCol w:w="786"/>
        <w:gridCol w:w="109"/>
        <w:gridCol w:w="109"/>
        <w:gridCol w:w="109"/>
        <w:gridCol w:w="109"/>
        <w:gridCol w:w="211"/>
        <w:gridCol w:w="891"/>
        <w:gridCol w:w="109"/>
        <w:gridCol w:w="109"/>
        <w:gridCol w:w="109"/>
        <w:gridCol w:w="109"/>
        <w:gridCol w:w="211"/>
        <w:gridCol w:w="891"/>
        <w:gridCol w:w="158"/>
      </w:tblGrid>
      <w:tr>
        <w:trPr/>
        <w:tc>
          <w:tcPr>
            <w:tcW w:w="167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loss on marketable securities, net of tax</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(140,682)</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PRAXIS PRECISION MEDICINES,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(Amounts in thousands, except share data)</w:t>
      </w:r>
    </w:p>
    <w:tbl>
      <w:tblPr>
        <w:tblW w:w="10205" w:type="dxa"/>
        <w:jc w:val="center"/>
        <w:tblInd w:w="0" w:type="dxa"/>
        <w:tblLayout w:type="fixed"/>
        <w:tblCellMar>
          <w:top w:w="28" w:type="dxa"/>
          <w:left w:w="28" w:type="dxa"/>
          <w:bottom w:w="28" w:type="dxa"/>
          <w:right w:w="28" w:type="dxa"/>
        </w:tblCellMar>
      </w:tblPr>
      <w:tblGrid>
        <w:gridCol w:w="1000"/>
        <w:gridCol w:w="734"/>
        <w:gridCol w:w="737"/>
        <w:gridCol w:w="420"/>
        <w:gridCol w:w="421"/>
        <w:gridCol w:w="186"/>
        <w:gridCol w:w="109"/>
        <w:gridCol w:w="109"/>
        <w:gridCol w:w="109"/>
        <w:gridCol w:w="181"/>
        <w:gridCol w:w="301"/>
        <w:gridCol w:w="109"/>
        <w:gridCol w:w="109"/>
        <w:gridCol w:w="109"/>
        <w:gridCol w:w="109"/>
        <w:gridCol w:w="181"/>
        <w:gridCol w:w="766"/>
        <w:gridCol w:w="109"/>
        <w:gridCol w:w="109"/>
        <w:gridCol w:w="109"/>
        <w:gridCol w:w="109"/>
        <w:gridCol w:w="181"/>
        <w:gridCol w:w="775"/>
        <w:gridCol w:w="109"/>
        <w:gridCol w:w="109"/>
        <w:gridCol w:w="109"/>
        <w:gridCol w:w="109"/>
        <w:gridCol w:w="288"/>
        <w:gridCol w:w="792"/>
        <w:gridCol w:w="175"/>
        <w:gridCol w:w="109"/>
        <w:gridCol w:w="109"/>
        <w:gridCol w:w="109"/>
        <w:gridCol w:w="181"/>
        <w:gridCol w:w="766"/>
        <w:gridCol w:w="158"/>
      </w:tblGrid>
      <w:tr>
        <w:trPr/>
        <w:tc>
          <w:tcPr>
            <w:tcW w:w="100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Accumulated Other </w:t>
              <w:br/>
              <w:t>Comprehensive 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25,195,092 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2,017,566 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(1,140,008)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878,136 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common stock from follow-on public offering, net of underwriting discounts, commissions and offering costs of $40,153</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2,543,800 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621,235 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withheld for taxes for 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(45,548)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unrealized gain on marketable securities,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27,859,514 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2,644,109 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1,409,961 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withheld for taxes for 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unrealized loss on marketable securities,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(83,720)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2026</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27,916,593 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2,659,990 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(1,316,289)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1,341,044 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66"/>
        <w:gridCol w:w="815"/>
        <w:gridCol w:w="818"/>
        <w:gridCol w:w="420"/>
        <w:gridCol w:w="421"/>
        <w:gridCol w:w="186"/>
        <w:gridCol w:w="109"/>
        <w:gridCol w:w="109"/>
        <w:gridCol w:w="109"/>
        <w:gridCol w:w="181"/>
        <w:gridCol w:w="301"/>
        <w:gridCol w:w="109"/>
        <w:gridCol w:w="109"/>
        <w:gridCol w:w="109"/>
        <w:gridCol w:w="109"/>
        <w:gridCol w:w="181"/>
        <w:gridCol w:w="766"/>
        <w:gridCol w:w="109"/>
        <w:gridCol w:w="109"/>
        <w:gridCol w:w="109"/>
        <w:gridCol w:w="109"/>
        <w:gridCol w:w="181"/>
        <w:gridCol w:w="660"/>
        <w:gridCol w:w="109"/>
        <w:gridCol w:w="109"/>
        <w:gridCol w:w="109"/>
        <w:gridCol w:w="109"/>
        <w:gridCol w:w="327"/>
        <w:gridCol w:w="681"/>
        <w:gridCol w:w="199"/>
        <w:gridCol w:w="109"/>
        <w:gridCol w:w="109"/>
        <w:gridCol w:w="109"/>
        <w:gridCol w:w="191"/>
        <w:gridCol w:w="682"/>
        <w:gridCol w:w="167"/>
      </w:tblGrid>
      <w:tr>
        <w:trPr/>
        <w:tc>
          <w:tcPr>
            <w:tcW w:w="106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Accumulated Other </w:t>
              <w:br/>
              <w:t>Comprehensive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19,422,358 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445,450 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common stock from at-the-market public offerings, net of commission costs of $1,120</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694,212 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from exercise of pre-funded warrants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173,840 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withheld for taxes for 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(18,765)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 in unrealized gain on marketable securities, net of tax</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(69,296)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20,341,917 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(906,036)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439,214 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Stock-based compensation expense</w:t>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7,770 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common stock from at-the-market offerings, net of commission costs of $579</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657,477 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Issuance of common stock from exercise of pre-funded warrants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Issuance of common stock under employee stock purchase plan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Shares withheld for taxes for 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Change in unrealized gain on marketable securities,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at Net loss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21,040,474 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404,224 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PRAXIS PRECISION MEDICINES,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758"/>
        <w:gridCol w:w="2325"/>
        <w:gridCol w:w="2340"/>
        <w:gridCol w:w="211"/>
        <w:gridCol w:w="884"/>
        <w:gridCol w:w="109"/>
        <w:gridCol w:w="109"/>
        <w:gridCol w:w="109"/>
        <w:gridCol w:w="109"/>
        <w:gridCol w:w="211"/>
        <w:gridCol w:w="884"/>
        <w:gridCol w:w="156"/>
      </w:tblGrid>
      <w:tr>
        <w:trPr/>
        <w:tc>
          <w:tcPr>
            <w:tcW w:w="2758"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operating activities: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lease expense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premiums and discounts on marketable securities,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internal-use software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(158,404)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of marketable securities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follow-on public offering, net of underwriting discounts, commissions and offering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at-the-market offerings, net of issuance and commission costs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tax withholdings related to vesting of restricted stock units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 and employee stock purchase plan purchases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cash, cash equivalents and restricted cash</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period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cash, cash equivalents and restricted cash:</w:t>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non-cash activities:</w:t>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 included in accrued expenses and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PRAXIS PRECISION MEDICINES,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 Nature of the Business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Praxis Precision Medicines, Inc. (“Praxis” or the “Company”) is a fully integrated, leading central nervous system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Cerebrum</w:t>
      </w:r>
      <w:r>
        <w:rPr>
          <w:color w:val="000000"/>
        </w:rPr>
        <w:t>™</w:t>
      </w:r>
      <w:r>
        <w:rPr>
          <w:rFonts w:ascii="Arial;sans-serif" w:hAnsi="Arial;sans-serif"/>
          <w:b w:val="false"/>
          <w:color w:val="000000"/>
          <w:sz w:val="20"/>
        </w:rPr>
        <w:t xml:space="preserve">, the Company's small molecule platform, utilizes deep understanding of neuronal excitability and neuronal networks and applies a series of computational and experimental tools to develop orally available precision therapies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Solidus</w:t>
      </w:r>
      <w:r>
        <w:rPr>
          <w:color w:val="000000"/>
        </w:rPr>
        <w:t>™</w:t>
      </w:r>
      <w:r>
        <w:rPr>
          <w:rFonts w:ascii="Arial;sans-serif" w:hAnsi="Arial;sans-serif"/>
          <w:b w:val="false"/>
          <w:color w:val="000000"/>
          <w:sz w:val="20"/>
        </w:rPr>
        <w:t xml:space="preserve">, the Company's antisense oligonucleotide ("ASO"), platform, is an efficient, targeted precision medicine discovery and development engine anchored on a proprietary, computational methodology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late-stage product candidates across movement disorders and epilepsy.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Praxis was incorporated in 2015 and commenced operations in 2016. The Company has funded its operations primarily with proceeds from the issuance of redeemable convertible preferred stock, from the sale of common stock through an initial public offering, at-the-market offerings under its shelf registration statement, and follow-on public offerings of common stock and pre-funded warrants to purchase common stock. From inception through June 30, 2026, the Company raised $2.4 billion in aggregate cash proceeds from these transactions, net of issuance costs.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may require significant additional research and development efforts, including preclinical and clinical testing and regulatory approval, prior to commercialization. These efforts require significant amounts of capital, adequate personnel and infrastructure and extensive compliance-reporting capabilities. Even if the Company’s product development efforts are successful, it is uncertain when, if ever, the Company will realize revenue from product sales.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120" w:after="283"/>
        <w:ind w:left="0" w:right="0" w:firstLine="495"/>
        <w:jc w:val="left"/>
        <w:rPr/>
      </w:pPr>
      <w:r>
        <w:rPr>
          <w:rFonts w:ascii="Arial;sans-serif" w:hAnsi="Arial;sans-serif"/>
          <w:b w:val="false"/>
          <w:color w:val="000000"/>
          <w:sz w:val="20"/>
        </w:rPr>
        <w:t xml:space="preserve">In accordance with the Financial Accounting Standards Board (“FASB”) Accounting Standards Update (“ASU”) 2014-15, </w:t>
      </w:r>
      <w:r>
        <w:rPr>
          <w:rFonts w:ascii="Arial;sans-serif" w:hAnsi="Arial;sans-serif"/>
          <w:b w:val="false"/>
          <w:i/>
          <w:color w:val="000000"/>
          <w:sz w:val="20"/>
        </w:rPr>
        <w:t>Disclosure of Uncertainties about an Entity’s Ability to Continue as a Going Concern (Subtopic 205-40)</w:t>
      </w:r>
      <w:r>
        <w:rPr>
          <w:rFonts w:ascii="Arial;sans-serif" w:hAnsi="Arial;sans-serif"/>
          <w:b w:val="false"/>
          <w:color w:val="000000"/>
          <w:sz w:val="20"/>
        </w:rPr>
        <w:t>, the Company has evaluated whether there are conditions and events, considered in the aggregate, that raise substantial doubt about the Company’s ability to continue as a going concern within one year after the date that these condensed consolidated financial statements are issued.</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has incurred recurring losses since its inception, including a net loss of $176.3 million for the six months ended June 30, 2026. In addition, as of June 30, 2026, the Company had an accumulated deficit of $1.3 billion. The Company expects to continue to generate operating losses for the foreseeable future.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expects that its cash, cash equivalents and marketable securities as of June 30, 2026 of $1.4 billion will be sufficient to fund its operating expenditures and capital expenditure requirements necessary to advance its research efforts and clinical trials for at least one year from the date of issuance of these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consolidated financial statements. The future viability of the Company is dependent on its ability to achieve regulatory approvals of its new drug applications, which are subject to risk and timing uncertainty, and raising additional capital to finance its operations, if needed.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significant accounting policies used in preparation of these condensed consolidated financial statements for the three and six months ended June 30, 2026 are consistent with those discussed in Note 2 to the consolidated financial statements included in the Company's 2025 Annual Report on Form 10-K, other than as noted below.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Unaudited Interim Condensed Consolidated Financial Information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accompanying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and its cash flows for the six months ended June 30, 2026 and 2025. Financial statement disclosures for the three and six months ended June 30, 2026 and 2025 are condensed and do not include all disclosures required for an annual set of financial statements in accordance with GAAP.</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results for the three and six months ended June 30, 2026 are not necessarily indicative of results to be expected for the year ended December 31, 2026, any other interim periods, or any future year or period.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Common Stock Warrants</w:t>
      </w:r>
    </w:p>
    <w:p>
      <w:pPr>
        <w:pStyle w:val="TextBody"/>
        <w:bidi w:val="0"/>
        <w:spacing w:lineRule="auto" w:line="288" w:before="120" w:after="283"/>
        <w:ind w:left="0" w:right="0" w:firstLine="495"/>
        <w:jc w:val="left"/>
        <w:rPr/>
      </w:pPr>
      <w:r>
        <w:rPr>
          <w:rFonts w:ascii="Arial;sans-serif" w:hAnsi="Arial;sans-serif"/>
          <w:b w:val="false"/>
          <w:color w:val="000000"/>
          <w:sz w:val="20"/>
        </w:rPr>
        <w:t>The Company accounts for warrants to purchase shares of its common stock in accordance with the guidance in FASB ASC No. 480,</w:t>
      </w:r>
      <w:r>
        <w:rPr>
          <w:color w:val="000000"/>
        </w:rPr>
        <w:t xml:space="preserve"> </w:t>
      </w:r>
      <w:r>
        <w:rPr>
          <w:rFonts w:ascii="Arial;sans-serif" w:hAnsi="Arial;sans-serif"/>
          <w:b w:val="false"/>
          <w:i/>
          <w:color w:val="000000"/>
          <w:sz w:val="20"/>
        </w:rPr>
        <w:t>Distinguishing Liabilities from Equity</w:t>
      </w:r>
      <w:r>
        <w:rPr>
          <w:color w:val="000000"/>
        </w:rPr>
        <w:t xml:space="preserve"> </w:t>
      </w:r>
      <w:r>
        <w:rPr>
          <w:rFonts w:ascii="Arial;sans-serif" w:hAnsi="Arial;sans-serif"/>
          <w:b w:val="false"/>
          <w:color w:val="000000"/>
          <w:sz w:val="20"/>
        </w:rPr>
        <w:t xml:space="preserve">("ASC 480") and ASC No. 815, </w:t>
      </w:r>
      <w:r>
        <w:rPr>
          <w:rFonts w:ascii="Arial;sans-serif" w:hAnsi="Arial;sans-serif"/>
          <w:b w:val="false"/>
          <w:i/>
          <w:color w:val="000000"/>
          <w:sz w:val="20"/>
        </w:rPr>
        <w:t>Derivatives and Hedging</w:t>
      </w:r>
      <w:r>
        <w:rPr>
          <w:color w:val="000000"/>
        </w:rPr>
        <w:t xml:space="preserve"> </w:t>
      </w:r>
      <w:r>
        <w:rPr>
          <w:rFonts w:ascii="Arial;sans-serif" w:hAnsi="Arial;sans-serif"/>
          <w:b w:val="false"/>
          <w:color w:val="000000"/>
          <w:sz w:val="20"/>
        </w:rPr>
        <w:t>("ASC 815"). The Company classifies warrants 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 Equity classified warrants are accounted for at fair value on the issuance date with no changes in fair value recognized after the issuance date.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Performance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For equity awards that do not vest unless the performance condition is met, the Company recognizes expense if, and to the extent that, it is determined that achievement of the performance conditions are probable. If the Company concludes that vesting is probable, expense is recognized over the requisite service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Internal-Use Software &amp; Cloud Computing Arrangements</w:t>
      </w:r>
    </w:p>
    <w:p>
      <w:pPr>
        <w:pStyle w:val="TextBody"/>
        <w:bidi w:val="0"/>
        <w:spacing w:lineRule="auto" w:line="288" w:before="120" w:after="283"/>
        <w:ind w:left="0" w:right="0" w:firstLine="495"/>
        <w:jc w:val="left"/>
        <w:rPr/>
      </w:pPr>
      <w:r>
        <w:rPr>
          <w:rFonts w:ascii="Arial;sans-serif" w:hAnsi="Arial;sans-serif"/>
          <w:b w:val="false"/>
          <w:color w:val="000000"/>
          <w:sz w:val="20"/>
        </w:rPr>
        <w:t xml:space="preserve">The Company capitalizes certain costs incurred in developing or obtaining internal-use software in accordance with ASC 350-40, </w:t>
      </w:r>
      <w:r>
        <w:rPr>
          <w:rFonts w:ascii="Arial;sans-serif" w:hAnsi="Arial;sans-serif"/>
          <w:b w:val="false"/>
          <w:i/>
          <w:color w:val="000000"/>
          <w:sz w:val="20"/>
        </w:rPr>
        <w:t>Internal-Use Software</w:t>
      </w:r>
      <w:r>
        <w:rPr>
          <w:rFonts w:ascii="Arial;sans-serif" w:hAnsi="Arial;sans-serif"/>
          <w:b w:val="false"/>
          <w:color w:val="000000"/>
          <w:sz w:val="20"/>
        </w:rPr>
        <w:t>, including costs related to cloud computing arrangements hosted by a third-party vendor and accounted for as service contracts. The Company capitalizes costs incurred to develop or obtain internal-use software once management has authorized and committed to funding the project, and it is probable the project will be completed, and the software will be used to perform the function intended. Capitalizable costs include external direct costs of materials and services used in developing and implementing the software, payroll and payroll-related costs for employees directly associated with the project. Costs associated with training, data conversion, and post-implementation activities are expensed as incurred.</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the Company had capitalized internal-use software costs of $0.8 million, which are included in internal-use software on the consolidated balance sheets. Capitalized internal-use software costs are amortized on a straight-line basis over the estimated useful life of the software, typically two to five years. Amortization expense related to these costs will be presented within depreciation expense which is presented within operating expenses within the consolidated statement of operations. No amortization expense has been recorded as of June 30, 2026.</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the Company had capitalized cloud computing implementation costs of $0.9 million, of which $0.3 million is classified as current and included in prepaid expenses and other current assets, and $0.6 million is classified as noncurrent and included in other assets on the consolidated balance sheets. These costs are amortized on a straight-line basis over the term of the associated hosting arrangement, including reasonably certain renewal periods, beginning when the module or component of the hosting arrangement is ready for its intended use, typically two to five years. Amortization expense related to these costs will be presented in the same line item in the consolidated statement of operations as the fees associated with the hosting arrangement. No amortization expense has been recorded as of June 30, 2026. Cash flows associated with these implementation costs are classified within operating activities in the consolidated statements of cash flows, consistent with the classification of the related hosting fees.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evaluates capitalized costs for impairment consistent with its policy for long-lived assets whenever events or changes in circumstances indicate that the carrying amount may not be recoverable. The Company did not record any impairment during the three and six months ended June 30, 2026.</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120" w:after="283"/>
        <w:ind w:left="0" w:right="0" w:firstLine="495"/>
        <w:jc w:val="left"/>
        <w:rPr/>
      </w:pPr>
      <w:r>
        <w:rPr>
          <w:rFonts w:ascii="Arial;sans-serif" w:hAnsi="Arial;sans-serif"/>
          <w:b w:val="false"/>
          <w:color w:val="000000"/>
          <w:sz w:val="20"/>
        </w:rPr>
        <w:t>In September 2025, the FASB issued ASU No. 2025-06,</w:t>
      </w:r>
      <w:r>
        <w:rPr>
          <w:color w:val="000000"/>
        </w:rPr>
        <w:t xml:space="preserve"> </w:t>
      </w:r>
      <w:r>
        <w:rPr>
          <w:rFonts w:ascii="Arial;sans-serif" w:hAnsi="Arial;sans-serif"/>
          <w:b w:val="false"/>
          <w:i/>
          <w:color w:val="000000"/>
          <w:sz w:val="20"/>
        </w:rPr>
        <w:t>Intangibles - Goodwill and Other - Internal-Use Software (Subtopic 350-40): Targeted Improvements to the Accounting for Internal-Use Software</w:t>
      </w:r>
      <w:r>
        <w:rPr>
          <w:color w:val="000000"/>
        </w:rPr>
        <w:t xml:space="preserve"> </w:t>
      </w:r>
      <w:r>
        <w:rPr>
          <w:rFonts w:ascii="Arial;sans-serif" w:hAnsi="Arial;sans-serif"/>
          <w:b w:val="false"/>
          <w:color w:val="000000"/>
          <w:sz w:val="20"/>
        </w:rPr>
        <w:t>("ASU 2025-06"), which amends certain aspects of the accounting for and disclosure of software costs under ASC 350-40. The ASU makes targeted improvements to ASC 350-40 to modernize the guidance for internal-use software and better reflect current software development practices. ASU 2025-06 is effective for fiscal periods beginning after December 15, 2027 and interim periods within those fiscal years. The amendments in this update can be applied using a prospective, retrospective, or modified transition approach. The Company early adopted the standard on January 1, 2026 using a prospective transition approach. The adoption of this standard did not have a material impact on the Company's financial statements. Refer to Note 2 for accounting treatment and impact on the Company's condensed consolidated financial statements.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Recently Issued Accounting Pronouncements</w:t>
      </w:r>
    </w:p>
    <w:p>
      <w:pPr>
        <w:pStyle w:val="TextBody"/>
        <w:bidi w:val="0"/>
        <w:spacing w:lineRule="auto" w:line="288" w:before="120" w:after="283"/>
        <w:ind w:left="0" w:right="0" w:firstLine="495"/>
        <w:jc w:val="left"/>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 xml:space="preserve">Income Statement - Reporting Comprehensive Income - Expense Disaggregation Disclosures (Subtopic 220-40): Disaggregation of Income Statement Expenses </w:t>
      </w:r>
      <w:r>
        <w:rPr>
          <w:rFonts w:ascii="Arial;sans-serif" w:hAnsi="Arial;sans-serif"/>
          <w:b w:val="false"/>
          <w:color w:val="000000"/>
          <w:sz w:val="20"/>
        </w:rPr>
        <w:t xml:space="preserve">("ASU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amendments in this update should be applied either prospectively to financial statements issued for reporting periods after the effective date of this update, or retrospectively to any or all prior periods presented in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statements. The Company is currently evaluating the impact of adopting ASU 2024-03 on its consolidated financial statements.</w:t>
      </w:r>
    </w:p>
    <w:p>
      <w:pPr>
        <w:pStyle w:val="TextBody"/>
        <w:bidi w:val="0"/>
        <w:spacing w:lineRule="auto" w:line="288" w:before="240" w:after="283"/>
        <w:ind w:left="0" w:right="0" w:firstLine="495"/>
        <w:jc w:val="left"/>
        <w:rPr/>
      </w:pPr>
      <w:r>
        <w:rPr>
          <w:rFonts w:ascii="Arial;sans-serif" w:hAnsi="Arial;sans-serif"/>
          <w:b w:val="false"/>
          <w:color w:val="000000"/>
          <w:sz w:val="20"/>
        </w:rPr>
        <w:t>In December 2025, the FASB issued ASU No. 2025-11,</w:t>
      </w:r>
      <w:r>
        <w:rPr>
          <w:color w:val="000000"/>
        </w:rPr>
        <w:t xml:space="preserve"> </w:t>
      </w:r>
      <w:r>
        <w:rPr>
          <w:rFonts w:ascii="Arial;sans-serif" w:hAnsi="Arial;sans-serif"/>
          <w:b w:val="false"/>
          <w:i/>
          <w:color w:val="000000"/>
          <w:sz w:val="20"/>
        </w:rPr>
        <w:t xml:space="preserve">Interim Reporting (Topic 270): Narrow-Scope Improvements </w:t>
      </w:r>
      <w:r>
        <w:rPr>
          <w:rFonts w:ascii="Arial;sans-serif" w:hAnsi="Arial;sans-serif"/>
          <w:b w:val="false"/>
          <w:color w:val="000000"/>
          <w:sz w:val="20"/>
        </w:rPr>
        <w:t>("ASU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3. Cash Equivalents and Marketable Securities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is a summary of the Company's investment portfolio as of June 30, 2026 and December 31, 2025 (in thousands):</w:t>
      </w:r>
    </w:p>
    <w:tbl>
      <w:tblPr>
        <w:tblW w:w="9419" w:type="dxa"/>
        <w:jc w:val="center"/>
        <w:tblInd w:w="0" w:type="dxa"/>
        <w:tblLayout w:type="fixed"/>
        <w:tblCellMar>
          <w:top w:w="28" w:type="dxa"/>
          <w:left w:w="28" w:type="dxa"/>
          <w:bottom w:w="28" w:type="dxa"/>
          <w:right w:w="28" w:type="dxa"/>
        </w:tblCellMar>
      </w:tblPr>
      <w:tblGrid>
        <w:gridCol w:w="1581"/>
        <w:gridCol w:w="1387"/>
        <w:gridCol w:w="1396"/>
        <w:gridCol w:w="211"/>
        <w:gridCol w:w="826"/>
        <w:gridCol w:w="109"/>
        <w:gridCol w:w="109"/>
        <w:gridCol w:w="109"/>
        <w:gridCol w:w="109"/>
        <w:gridCol w:w="211"/>
        <w:gridCol w:w="406"/>
        <w:gridCol w:w="109"/>
        <w:gridCol w:w="109"/>
        <w:gridCol w:w="109"/>
        <w:gridCol w:w="109"/>
        <w:gridCol w:w="211"/>
        <w:gridCol w:w="691"/>
        <w:gridCol w:w="109"/>
        <w:gridCol w:w="109"/>
        <w:gridCol w:w="109"/>
        <w:gridCol w:w="109"/>
        <w:gridCol w:w="211"/>
        <w:gridCol w:w="826"/>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U.S. government agencies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978,323 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9225" w:type="dxa"/>
        <w:jc w:val="center"/>
        <w:tblInd w:w="0" w:type="dxa"/>
        <w:tblLayout w:type="fixed"/>
        <w:tblCellMar>
          <w:top w:w="28" w:type="dxa"/>
          <w:left w:w="28" w:type="dxa"/>
          <w:bottom w:w="28" w:type="dxa"/>
          <w:right w:w="28" w:type="dxa"/>
        </w:tblCellMar>
      </w:tblPr>
      <w:tblGrid>
        <w:gridCol w:w="1582"/>
        <w:gridCol w:w="1387"/>
        <w:gridCol w:w="1396"/>
        <w:gridCol w:w="211"/>
        <w:gridCol w:w="826"/>
        <w:gridCol w:w="109"/>
        <w:gridCol w:w="109"/>
        <w:gridCol w:w="109"/>
        <w:gridCol w:w="109"/>
        <w:gridCol w:w="211"/>
        <w:gridCol w:w="466"/>
        <w:gridCol w:w="109"/>
        <w:gridCol w:w="109"/>
        <w:gridCol w:w="109"/>
        <w:gridCol w:w="109"/>
        <w:gridCol w:w="211"/>
        <w:gridCol w:w="436"/>
        <w:gridCol w:w="109"/>
        <w:gridCol w:w="109"/>
        <w:gridCol w:w="109"/>
        <w:gridCol w:w="109"/>
        <w:gridCol w:w="211"/>
        <w:gridCol w:w="826"/>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U.S. government agencies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U.S. government agencies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771,057 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the Company had 180 securities with a total fair market value of $793.8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 Company anticipates a full recovery of the amortized cost basis of its debt securities at maturity and an allowance was not recognized.</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Contractual maturities of the marketable securities at each balance sheet date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6190" w:type="dxa"/>
        <w:jc w:val="left"/>
        <w:tblInd w:w="0" w:type="dxa"/>
        <w:tblLayout w:type="fixed"/>
        <w:tblCellMar>
          <w:top w:w="28" w:type="dxa"/>
          <w:left w:w="28" w:type="dxa"/>
          <w:bottom w:w="28" w:type="dxa"/>
          <w:right w:w="28" w:type="dxa"/>
        </w:tblCellMar>
      </w:tblPr>
      <w:tblGrid>
        <w:gridCol w:w="998"/>
        <w:gridCol w:w="879"/>
        <w:gridCol w:w="883"/>
        <w:gridCol w:w="237"/>
        <w:gridCol w:w="930"/>
        <w:gridCol w:w="122"/>
        <w:gridCol w:w="109"/>
        <w:gridCol w:w="109"/>
        <w:gridCol w:w="109"/>
        <w:gridCol w:w="321"/>
        <w:gridCol w:w="1259"/>
        <w:gridCol w:w="23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Within one year</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242,002 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one year through five years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615,290 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326,757 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899,080 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568,759 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Securities are evaluated for impairment at the end of each reporting period. The Company did not record any impairment related to its available-for-sale securities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4. Fair Value Measurements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Level 1: Unadjusted quoted prices in active markets that are accessible at the measurement date for identical assets;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Level 2: Quoted prices for similar assets in active markets, quoted prices in markets that are not active, or inputs which are unobservable, either directly or indirectly, for substantially the full term of the asset; or</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Level 3: Prices or valuation techniques that require inputs that are both significant to the valuation of the asset and unobservable.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information about the Company’s financial assets measured at fair value on a recurring basis and indicates the level of the fair value hierarchy utilized to determine such fair values as of June 30, 2026 and December 31, 2025 (in thousands):</w:t>
      </w:r>
    </w:p>
    <w:tbl>
      <w:tblPr>
        <w:tblW w:w="9555" w:type="dxa"/>
        <w:jc w:val="left"/>
        <w:tblInd w:w="0" w:type="dxa"/>
        <w:tblLayout w:type="fixed"/>
        <w:tblCellMar>
          <w:top w:w="28" w:type="dxa"/>
          <w:left w:w="28" w:type="dxa"/>
          <w:bottom w:w="28" w:type="dxa"/>
          <w:right w:w="28" w:type="dxa"/>
        </w:tblCellMar>
      </w:tblPr>
      <w:tblGrid>
        <w:gridCol w:w="1576"/>
        <w:gridCol w:w="1388"/>
        <w:gridCol w:w="140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U.S. government agencies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978,323 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555" w:type="dxa"/>
        <w:jc w:val="left"/>
        <w:tblInd w:w="0" w:type="dxa"/>
        <w:tblLayout w:type="fixed"/>
        <w:tblCellMar>
          <w:top w:w="28" w:type="dxa"/>
          <w:left w:w="28" w:type="dxa"/>
          <w:bottom w:w="28" w:type="dxa"/>
          <w:right w:w="28" w:type="dxa"/>
        </w:tblCellMar>
      </w:tblPr>
      <w:tblGrid>
        <w:gridCol w:w="1576"/>
        <w:gridCol w:w="1388"/>
        <w:gridCol w:w="140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U.S. government agencies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5. Accrued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Accrued expenses consisted of the following (in thousands):</w:t>
      </w:r>
    </w:p>
    <w:tbl>
      <w:tblPr>
        <w:tblW w:w="8006" w:type="dxa"/>
        <w:jc w:val="left"/>
        <w:tblInd w:w="0" w:type="dxa"/>
        <w:tblLayout w:type="fixed"/>
        <w:tblCellMar>
          <w:top w:w="28" w:type="dxa"/>
          <w:left w:w="28" w:type="dxa"/>
          <w:bottom w:w="28" w:type="dxa"/>
          <w:right w:w="28" w:type="dxa"/>
        </w:tblCellMar>
      </w:tblPr>
      <w:tblGrid>
        <w:gridCol w:w="1659"/>
        <w:gridCol w:w="1454"/>
        <w:gridCol w:w="1462"/>
        <w:gridCol w:w="261"/>
        <w:gridCol w:w="894"/>
        <w:gridCol w:w="135"/>
        <w:gridCol w:w="109"/>
        <w:gridCol w:w="109"/>
        <w:gridCol w:w="109"/>
        <w:gridCol w:w="352"/>
        <w:gridCol w:w="1205"/>
        <w:gridCol w:w="257"/>
      </w:tblGrid>
      <w:tr>
        <w:trPr/>
        <w:tc>
          <w:tcPr>
            <w:tcW w:w="165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external research and development expenses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personnel-related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other expenses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35,033 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6. Commitments and Contingencies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May 2021, the Company entered into a sublease agreement for office space located in Boston, Massachusetts that expired on January 31, 2026. The Company issued a letter of credit to the landlord related to the security deposit, secured by restricted cash, which is reflected within prepaid expenses and other current assets on the accompanying condensed consolidated balance sheets as of December 31, 2025. During the three months ended June 30, 2026, following the expiration of a required holding period, the letter of credit was released and the associated collateral cash was reclassified from restricted cash to cash and cash equivalents. In September 2025, the Company entered into a license agreement for its existing office space which commenced on March 1, 2026 and expires on March 31, 2027, with no option to renew or terminate early. At commencement, the Company recorded an operating lease right-of-use asset and operating lease liability of $1.4 million, which are reflected within the accompanying condensed consolidated balance sheet as of June 30, 2026. This license agreement qualifies as an operating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7. Collaboration and License Agreements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UCB Option and License Agreement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December 2022, the Company entered into an Option and License Agreement (“the Collaboration Agreement”) with UCB Biopharma SRL (“UCB”) for the discovery of small molecule therapeutics as potential treatments of KCNT1-related epilepsies. Effective May 31, 2026, the Collaboration Agreement terminated and the Company regained full global development and commercialization rights to its KCNT1 program. Neither party has any further rights or obligations under the Collaboration Agreement, including with respect to option fees, milestone payments and royalties, and no termination payment was due to or from either party.</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Tenacia Collaboration and License Agreement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January 4, 2024, the Company entered into an exclusive collaboration and license Agreement (“the Tenacia License Agreement”) with Tenacia Biotechnology (Shanghai) Co., Ltd. (“Tenacia”), a China-based portfolio company of Bain Capital, which provides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The Company also entered into a Stock Purchase Agreement (“the Stock Purchase Agreement”) with BCPE Tenet Holdings Cayman, Ltd. (“BCPE”), a related party of Tenacia. Pursuant to the terms of the Tenacia License Agreement, the Company was entitled to an up-front, non-refundable and non-creditable cash payment of $5.0 million, net of certain tax withholdings. In addition, the Company is eligible to receive $264.0 million in success-based development and commercialization milestone payments as well as tiered royalties on net sales. Pursuant to the terms of the Stock Purchase Agreement, the Company issued and sold 443,253 shares of its common stock to BCPE at a price per share of $22.5605 for aggregate gross proceeds of $10.0 million. The per share price was based on a 20% premium over the 30-day volume-weighted average price.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Under the terms of the Tenacia License Agreement, the Company granted to Tenacia an exclusive license to use certain intellectual property for the development and commercialization of ulixacaltamide and products containing ulixacaltamide in China, Hong Kong, Macau and Taiwan. Tenacia is solely responsible for the development and commercialization under the arrangement, with the exception of the associated manufacturing.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concluded that the Tenacia License Agreement and the Stock Purchase Agreement is a combined arrangement since they were executed at the same time and in contemplation of each other with the same counterparty or a related party thereof and the combined arrangement falls within the scope of Topic 606.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Company’s obligations under the arrangement comprise a single promise, or one performance obligation, related to the exclusive development and commercialization license granted to Tenacia. Total proceeds associated with the combined arrangement at inception were $14.8 million consisting of the following: (i) $10.0 million gross proceeds from the sale of common stock under the Stock Purchase Agreement and (ii) $4.8 million, net of tax, related to the up-front payment under the Tenacia License Agreement, both of which were received in January 2024. During the three and six months ended June 30, 2026 and 2025, the Company had not achieved any development or sales milestones or earned any royalties under the Tenacia License Agreement.</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recorded the common stock sold to BCPE at its issuance date fair value of $38.95 per share, or $17.3 million in the aggregate, which exceeded the proceeds received which were calculated based on the 20% premium over the prior 30-day volume-weighted average price. Accordingly, there is no transaction price allocable to the performance obligation. The Company accounted for the excess of the fair value of the equity securities issued over the total proceeds received as consideration paid to a customer for which no distinct good or service was transferred in exchange. As a result, the transaction gives rise to negative revenue on a cumulative basis in the amount of $2.5 million, which was recorded at the inception of the Tenacia License Agreement in research and development expense in the accompanying consolidated statement of operations. For agreements where the licenses are considered separate performance obligations or represent the only performance obligation, the Company recognizes revenue at the point in time that the Company effectively grants the license, as the licenses or assignments represent functional intellectual property.</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June 30, 2026, the Company did not have any material receivables, included within other current assets and prepaid expenses on the consolidated balance sheets, and had no deferred revenue related to the arrangement with Tenacia. The Company did not recognize any contract assets related to costs to obtain a contract with a customer or costs to fulfill a contract with a customer through June 30, 2026 because no qualifying costs were incurred. During three and six months ended June 30, 2026 and 2025, the Company did not recognize any revenue associated with the combined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8. Common Stock and Preferred Stock</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and December 31, 2025, the authorized capital stock of the Company included 150,000,000 shares of common stock, $0.0001 par value.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and December 31, 2025, the Company did not hold any treasury shares.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Follow-On Public Offerings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 xml:space="preserve">January 2024 Public Offering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January 16, 2024, the Company completed a public offering of: (i) an aggregate of 3,802,025 shares of its common stock at a public offering price of $35.50 per share, including the underwriters' full exercise of their option to purchase 633,750 additional shares of common stock, and (ii) pre-funded warrants to purchase 1,056,725 shares of common stock at a public offering price of $35.4999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$161.6 million, after deducting underwriting discounts, commissions and other offering expenses payable by the Company.</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During the year ended December 31, 2025, 200,355 pre-funded warrants were exercised via cashless exercise, resulting in 200,349 shares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stock issued. No cash proceeds associated with the exercise were received by the Company. As of December 31, 2025, a total of 704,225 pre-funded warrants associated with this offering remained outstanding.</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2026, no pre-funded warrants were exercised. As of June 30, 2026, a total of 704,225 pre-funded warrants associated with this offering remained outstanding.</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April 2024 Public Offering</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April 2, 2024, the Company completed a public offering of: (i) an aggregate of 3,849,558 shares of its common stock at a public offering price of $56.50 per share, including the underwriters' full exercise of their option to purchase 530,973 additional shares of common stock, and (ii) pre-funded warrants to purchase 221,238 shares of common stock at a public offering price of $56.4999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$216.0 million, after deducting underwriting discounts, commissions and other offering expenses payable by the Company.</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4.99% (or 9.99%) of the issued and outstanding common stock.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As of June 30, 2026, none of the pre-funded warrants had been exercised and all remained outstanding.</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October 2025 Public Offering</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October 20, 2025, the Company completed a public offering of: (i) an aggregate of 3,527,072 shares of its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approximately $567.1 million, after deducting underwriting discounts, commissions and other offering expenses payable by the Company.</w:t>
      </w:r>
    </w:p>
    <w:p>
      <w:pPr>
        <w:pStyle w:val="TextBody"/>
        <w:bidi w:val="0"/>
        <w:spacing w:lineRule="auto" w:line="288" w:before="240" w:after="283"/>
        <w:ind w:left="0" w:right="0" w:firstLine="495"/>
        <w:jc w:val="left"/>
        <w:rPr/>
      </w:pPr>
      <w:r>
        <w:rPr>
          <w:rFonts w:ascii="Arial;sans-serif" w:hAnsi="Arial;sans-serif"/>
          <w:b w:val="false"/>
          <w:color w:val="000000"/>
          <w:sz w:val="20"/>
          <w:shd w:fill="FFFFFF" w:val="clear"/>
        </w:rPr>
        <w:t xml:space="preserve">The pre-funded warrants are exercisable at any time on or after the date of issuance at the option of the holder, subject to a beneficial ownership blocker that may limit exercisability. No holder may exercise any portion of the warrants that would cause the aggregate number of shares of common stock beneficially owned by such holder, together with its affiliates, to exceed </w:t>
      </w:r>
      <w:r>
        <w:rPr>
          <w:rFonts w:ascii="Arial;sans-serif" w:hAnsi="Arial;sans-serif"/>
          <w:b w:val="false"/>
          <w:color w:val="000000"/>
          <w:sz w:val="20"/>
        </w:rPr>
        <w:t>4.99%</w:t>
      </w:r>
      <w:r>
        <w:rPr>
          <w:color w:val="000000"/>
          <w:shd w:fill="FFFFFF" w:val="clear"/>
        </w:rPr>
        <w:t xml:space="preserve"> </w:t>
      </w:r>
      <w:r>
        <w:rPr>
          <w:rFonts w:ascii="Arial;sans-serif" w:hAnsi="Arial;sans-serif"/>
          <w:b w:val="false"/>
          <w:color w:val="000000"/>
          <w:sz w:val="20"/>
          <w:shd w:fill="FFFFFF" w:val="clear"/>
        </w:rPr>
        <w:t xml:space="preserve">(or </w:t>
      </w:r>
      <w:r>
        <w:rPr>
          <w:rFonts w:ascii="Arial;sans-serif" w:hAnsi="Arial;sans-serif"/>
          <w:b w:val="false"/>
          <w:color w:val="000000"/>
          <w:sz w:val="20"/>
        </w:rPr>
        <w:t>9.99%</w:t>
      </w:r>
      <w:r>
        <w:rPr>
          <w:rFonts w:ascii="Arial;sans-serif" w:hAnsi="Arial;sans-serif"/>
          <w:b w:val="false"/>
          <w:color w:val="000000"/>
          <w:sz w:val="20"/>
          <w:shd w:fill="FFFFFF" w:val="clear"/>
        </w:rPr>
        <w:t xml:space="preserve">) of the issued and outstanding common stock. </w:t>
      </w:r>
      <w:r>
        <w:rPr>
          <w:rFonts w:ascii="Arial;sans-serif" w:hAnsi="Arial;sans-serif"/>
          <w:b w:val="false"/>
          <w:color w:val="000000"/>
          <w:sz w:val="20"/>
        </w:rPr>
        <w:t xml:space="preserve">A holder of a pre-funded warrant may increase or decrease this percentage up to 19.99% by providing at least 61 days’ prior notice to the Company. </w:t>
      </w:r>
      <w:r>
        <w:rPr>
          <w:rFonts w:ascii="Arial;sans-serif" w:hAnsi="Arial;sans-serif"/>
          <w:b w:val="false"/>
          <w:color w:val="000000"/>
          <w:sz w:val="20"/>
          <w:shd w:fill="FFFFFF" w:val="clear"/>
        </w:rPr>
        <w:t xml:space="preserve">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w:t>
      </w:r>
      <w:r>
        <w:rPr>
          <w:rFonts w:ascii="Arial;sans-serif" w:hAnsi="Arial;sans-serif"/>
          <w:b w:val="false"/>
          <w:color w:val="000000"/>
          <w:sz w:val="20"/>
        </w:rPr>
        <w:t>the warrants immediately prior to such transaction. As of June 30, 2026, none of the pre-funded warrants had been exercised and all remained outstanding.</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Company determined that the pre-funded warrants related to the January 2024, April 2024, and October 2025 public offerings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Arial;sans-serif" w:hAnsi="Arial;sans-serif"/>
          <w:b w:val="false"/>
          <w:color w:val="000000"/>
          <w:sz w:val="20"/>
        </w:rPr>
        <w:t xml:space="preserve">No. 815-40, </w:t>
      </w:r>
      <w:r>
        <w:rPr>
          <w:rFonts w:ascii="Arial;sans-serif" w:hAnsi="Arial;sans-serif"/>
          <w:b w:val="false"/>
          <w:i/>
          <w:color w:val="000000"/>
          <w:sz w:val="20"/>
        </w:rPr>
        <w:t>Contracts in Entity’s Own Equity</w:t>
      </w:r>
      <w:r>
        <w:rPr>
          <w:rFonts w:ascii="Arial;sans-serif" w:hAnsi="Arial;sans-serif"/>
          <w:b w:val="false"/>
          <w:color w:val="000000"/>
          <w:sz w:val="20"/>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January 2026 Public Offering</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January 7, 2026, the Company completed a public offering of 2,543,800 shares of its common stock at a public offering price of $260.00 per share, including the underwriters' full exercise of their option to purchase 331,800 additional shares of common stock. Total net proceeds generated from the offering were approximately $621.2 million, after deducting underwriting discounts, commissions and other offering expenses payable by the Company.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Shares Reserved for Future Issuance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has reserved the following shares of common stock for future issuance:</w:t>
      </w:r>
    </w:p>
    <w:tbl>
      <w:tblPr>
        <w:tblW w:w="10205" w:type="dxa"/>
        <w:jc w:val="left"/>
        <w:tblInd w:w="0" w:type="dxa"/>
        <w:tblLayout w:type="fixed"/>
        <w:tblCellMar>
          <w:top w:w="28" w:type="dxa"/>
          <w:left w:w="28" w:type="dxa"/>
          <w:bottom w:w="28" w:type="dxa"/>
          <w:right w:w="28" w:type="dxa"/>
        </w:tblCellMar>
      </w:tblPr>
      <w:tblGrid>
        <w:gridCol w:w="2571"/>
        <w:gridCol w:w="2258"/>
        <w:gridCol w:w="2272"/>
        <w:gridCol w:w="488"/>
        <w:gridCol w:w="488"/>
        <w:gridCol w:w="269"/>
        <w:gridCol w:w="109"/>
        <w:gridCol w:w="109"/>
        <w:gridCol w:w="109"/>
        <w:gridCol w:w="488"/>
        <w:gridCol w:w="488"/>
        <w:gridCol w:w="556"/>
      </w:tblGrid>
      <w:tr>
        <w:trPr/>
        <w:tc>
          <w:tcPr>
            <w:tcW w:w="25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exercise of outstanding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1,905,404 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1,876,778 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exercise of pre-funded warrants related to the January 2024 Financing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704,225 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704,225 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exercise of pre-funded warrants related to the April 2024 Financing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221,238 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221,238 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exercise of pre-funded warrants related to October 2025 Financing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318,470 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318,470 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future awards under the 2020 Stock Option and Incentive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1,402,688 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473,358 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future awards under the 2020 Employee Stock Purchase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528,313 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281,180 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future awards under the 2024 Inducement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936,132 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945,280 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reserved for vesting of restricted stock units and performance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654,792 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501,853 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shares of authorized common stock reserved for future issuance</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6,671,262 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5,322,382 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Preferred Stock</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and December 31, 2025, the authorized capital stock of the Company included 10,000,000 shares of undesignated preferred stock, $0.0001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Stock-Based Compensation</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2024 Inducement Plan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In January 2024, the Board of Directors ("the Board") adopted the 2024 Inducement Plan (the "Inducement Plan") without stockholder approval pursuant to Rule 5635(c)(4) of the Nasdaq Stock Market LLC listing rules ("Rule 5635(c)(4)"). In accordance with Rule 5635(c)(4), the Inducement Plan allows the Company to grant awards only to a newly hired employee who was not previously an employee or non-employee director or to an employee who is being rehired following a bona fide period of non-employment if such award is a material inducement to such employee entering into employment. In January 2025, the number of shares of common stock authorized for issuance under the Inducement Plan was increased by 870,000 shares. The total number of shares of common stock authorized for issuance under the Inducement Plan as of June 30, 2026 and December 31, 2025 was 1,000,000 shares.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2020 Stock Option and Incentive Plan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total number of shares of common stock authorized for issuance under the 2020 Stock Option and Incentive Plan (the "2020 Plan”) as of June 30, 2026 and December 31, 2025 was 4,201,704 shares and 2,941,950 shares, respectively.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2017 Stock Incentive Plan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total number of shares of common stock authorized for issuance under the 2017 Stock Incentive Plan (the "2017 Plan") as of June 30, 2026 and December 31, 2025 was 395,850 shares. Any authorization to issue new options under the 2017 Plan was cancelled upon the effectiveness of the 2020 Plan and no further awards will be granted under the 2017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2020 Employee Stock Purchase Plan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total number of shares of common stock authorized for issuance under the 2020 Employee Stock Purchase Plan (the "2020 ESPP”) as of June 30, 2026 and December 31, 2025 was 621,318 shares and 369,368 shares, respectively.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the Company’s restricted stock unit activity:</w:t>
      </w:r>
    </w:p>
    <w:tbl>
      <w:tblPr>
        <w:tblW w:w="5554" w:type="dxa"/>
        <w:jc w:val="center"/>
        <w:tblInd w:w="0" w:type="dxa"/>
        <w:tblLayout w:type="fixed"/>
        <w:tblCellMar>
          <w:top w:w="28" w:type="dxa"/>
          <w:left w:w="28" w:type="dxa"/>
          <w:bottom w:w="28" w:type="dxa"/>
          <w:right w:w="28" w:type="dxa"/>
        </w:tblCellMar>
      </w:tblPr>
      <w:tblGrid>
        <w:gridCol w:w="1085"/>
        <w:gridCol w:w="956"/>
        <w:gridCol w:w="959"/>
        <w:gridCol w:w="449"/>
        <w:gridCol w:w="451"/>
        <w:gridCol w:w="241"/>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Grant Date</w:t>
              <w:br/>
              <w:t>Fair Value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as of December 31,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as of June 30, 2026</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522,990 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total unrecognized compensation cost related to unvested restricted stock units was $62.1 million, which is expected to be recognized over a weighted-average period of 3.16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Performance Stock Units </w:t>
      </w:r>
    </w:p>
    <w:p>
      <w:pPr>
        <w:pStyle w:val="TextBody"/>
        <w:bidi w:val="0"/>
        <w:spacing w:lineRule="auto" w:line="288" w:before="120" w:after="283"/>
        <w:ind w:left="0" w:right="0" w:firstLine="495"/>
        <w:jc w:val="left"/>
        <w:rPr/>
      </w:pPr>
      <w:r>
        <w:rPr>
          <w:rFonts w:ascii="Arial;sans-serif" w:hAnsi="Arial;sans-serif"/>
          <w:b w:val="false"/>
          <w:color w:val="000000"/>
          <w:sz w:val="20"/>
        </w:rPr>
        <w:t>In January 2026, the Company granted performance stock units ("PSUs") to its executive officers under the 2020 Plan. Vesting of the PSUs is subject to the achievement of specified performance conditions, which include achieving objectively measurable clinical, regulatory and commercial revenue targets. If these conditions are not met, the PSUs would be forfeited and returned to the plan. The actual number of common shares issued that could potentially vest is calculated by multiplying the</w:t>
      </w:r>
      <w:r>
        <w:rPr>
          <w:color w:val="000000"/>
          <w:shd w:fill="FFFFFF" w:val="clear"/>
        </w:rPr>
        <w:t xml:space="preserve"> </w:t>
      </w:r>
      <w:r>
        <w:rPr>
          <w:rFonts w:ascii="Arial;sans-serif" w:hAnsi="Arial;sans-serif"/>
          <w:b w:val="false"/>
          <w:color w:val="000000"/>
          <w:sz w:val="20"/>
        </w:rPr>
        <w:t>target</w:t>
      </w:r>
      <w:r>
        <w:rPr>
          <w:color w:val="000000"/>
          <w:shd w:fill="FFFFFF" w:val="clear"/>
        </w:rPr>
        <w:t xml:space="preserve"> </w:t>
      </w:r>
      <w:r>
        <w:rPr>
          <w:rFonts w:ascii="Arial;sans-serif" w:hAnsi="Arial;sans-serif"/>
          <w:b w:val="false"/>
          <w:color w:val="000000"/>
          <w:sz w:val="20"/>
        </w:rPr>
        <w:t xml:space="preserve">number of PSUs granted by a multiplier determined for each performance goal, resulting in an aggregate payout ranging from 0% to 250% of the total target PSUs granted. The performance conditions are required to be achieved during the performance period, which ends on December 31, 2027.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the Company’s performance stock unit activity:</w:t>
      </w:r>
    </w:p>
    <w:tbl>
      <w:tblPr>
        <w:tblW w:w="5480" w:type="dxa"/>
        <w:jc w:val="center"/>
        <w:tblInd w:w="0" w:type="dxa"/>
        <w:tblLayout w:type="fixed"/>
        <w:tblCellMar>
          <w:top w:w="28" w:type="dxa"/>
          <w:left w:w="28" w:type="dxa"/>
          <w:bottom w:w="28" w:type="dxa"/>
          <w:right w:w="28" w:type="dxa"/>
        </w:tblCellMar>
      </w:tblPr>
      <w:tblGrid>
        <w:gridCol w:w="1085"/>
        <w:gridCol w:w="956"/>
        <w:gridCol w:w="959"/>
        <w:gridCol w:w="413"/>
        <w:gridCol w:w="413"/>
        <w:gridCol w:w="241"/>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Grant Date</w:t>
              <w:br/>
              <w:t>Fair Value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as of December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Issued</w:t>
            </w:r>
            <w:r>
              <w:rPr>
                <w:rFonts w:ascii="Arial;sans-serif" w:hAnsi="Arial;sans-serif"/>
                <w:b w:val="false"/>
                <w:color w:val="000000"/>
                <w:sz w:val="12"/>
              </w:rPr>
              <w:t>(a)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as of June 30,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131,802 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(a) The number of shares issued during the period is the maximum amount of shares that could be payable under the terms of the PSU agreement.</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total unrecognized compensation costs related to unvested PSUs that were determined to be probable of achievement was $8.2 million, which is expected to be recognized over a weighted-average period of 0.54 years.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the Company’s stock option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0" w:type="dxa"/>
        <w:jc w:val="left"/>
        <w:tblInd w:w="0" w:type="dxa"/>
        <w:tblLayout w:type="fixed"/>
        <w:tblCellMar>
          <w:top w:w="28" w:type="dxa"/>
          <w:left w:w="28" w:type="dxa"/>
          <w:bottom w:w="28" w:type="dxa"/>
          <w:right w:w="28" w:type="dxa"/>
        </w:tblCellMar>
      </w:tblPr>
      <w:tblGrid>
        <w:gridCol w:w="1470"/>
        <w:gridCol w:w="1295"/>
        <w:gridCol w:w="1299"/>
        <w:gridCol w:w="488"/>
        <w:gridCol w:w="488"/>
        <w:gridCol w:w="336"/>
        <w:gridCol w:w="109"/>
        <w:gridCol w:w="109"/>
        <w:gridCol w:w="109"/>
        <w:gridCol w:w="276"/>
        <w:gridCol w:w="946"/>
        <w:gridCol w:w="144"/>
        <w:gridCol w:w="109"/>
        <w:gridCol w:w="109"/>
        <w:gridCol w:w="109"/>
        <w:gridCol w:w="370"/>
        <w:gridCol w:w="370"/>
        <w:gridCol w:w="371"/>
        <w:gridCol w:w="109"/>
        <w:gridCol w:w="109"/>
        <w:gridCol w:w="109"/>
        <w:gridCol w:w="242"/>
        <w:gridCol w:w="947"/>
        <w:gridCol w:w="177"/>
      </w:tblGrid>
      <w:tr>
        <w:trPr/>
        <w:tc>
          <w:tcPr>
            <w:tcW w:w="147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 Value</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thousands)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as of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1,876,778 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109,647 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(74,198)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Cancelled or 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as of June 30,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1,905,404 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466,138 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Exercisable as of June 30, 2026</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1,285,374 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104.01 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expected to vest as of June 30,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1,905,404 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466,138 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Valuation of Stock Options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weighted-average assumptions that the Company used in the Black-Scholes option pricing model to determine the grant-date fair value of stock options granted to employees and non-employees on the date of grant were as follows for the three and six months ended June 30, 2026:</w:t>
      </w:r>
    </w:p>
    <w:tbl>
      <w:tblPr>
        <w:tblW w:w="8974" w:type="dxa"/>
        <w:jc w:val="center"/>
        <w:tblInd w:w="0" w:type="dxa"/>
        <w:tblLayout w:type="fixed"/>
        <w:tblCellMar>
          <w:top w:w="28" w:type="dxa"/>
          <w:left w:w="28" w:type="dxa"/>
          <w:bottom w:w="28" w:type="dxa"/>
          <w:right w:w="28" w:type="dxa"/>
        </w:tblCellMar>
      </w:tblPr>
      <w:tblGrid>
        <w:gridCol w:w="1493"/>
        <w:gridCol w:w="1311"/>
        <w:gridCol w:w="1320"/>
        <w:gridCol w:w="326"/>
        <w:gridCol w:w="1115"/>
        <w:gridCol w:w="419"/>
        <w:gridCol w:w="109"/>
        <w:gridCol w:w="109"/>
        <w:gridCol w:w="109"/>
        <w:gridCol w:w="421"/>
        <w:gridCol w:w="1439"/>
        <w:gridCol w:w="540"/>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1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term (in years)</w:t>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78.29 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80.09 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dividend yield</w:t>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grant-date fair value per share</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207.72 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As of June 30, 2026, total unrecognized compensation cost related to unvested stock options was $42.5 million, which is expected to be recognized over a weighted-average period of 2.32 years.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Stock-based compensation expense was allocated as follows (in thousands):</w:t>
      </w:r>
    </w:p>
    <w:tbl>
      <w:tblPr>
        <w:tblW w:w="8594" w:type="dxa"/>
        <w:jc w:val="center"/>
        <w:tblInd w:w="0" w:type="dxa"/>
        <w:tblLayout w:type="fixed"/>
        <w:tblCellMar>
          <w:top w:w="28" w:type="dxa"/>
          <w:left w:w="28" w:type="dxa"/>
          <w:bottom w:w="28" w:type="dxa"/>
          <w:right w:w="28" w:type="dxa"/>
        </w:tblCellMar>
      </w:tblPr>
      <w:tblGrid>
        <w:gridCol w:w="1273"/>
        <w:gridCol w:w="1115"/>
        <w:gridCol w:w="112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10. Net Loss per Share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tbl>
      <w:tblPr>
        <w:tblW w:w="10205" w:type="dxa"/>
        <w:jc w:val="center"/>
        <w:tblInd w:w="0" w:type="dxa"/>
        <w:tblLayout w:type="fixed"/>
        <w:tblCellMar>
          <w:top w:w="28" w:type="dxa"/>
          <w:left w:w="28" w:type="dxa"/>
          <w:bottom w:w="28" w:type="dxa"/>
          <w:right w:w="28" w:type="dxa"/>
        </w:tblCellMar>
      </w:tblPr>
      <w:tblGrid>
        <w:gridCol w:w="1417"/>
        <w:gridCol w:w="1236"/>
        <w:gridCol w:w="1240"/>
        <w:gridCol w:w="488"/>
        <w:gridCol w:w="488"/>
        <w:gridCol w:w="180"/>
        <w:gridCol w:w="179"/>
        <w:gridCol w:w="179"/>
        <w:gridCol w:w="179"/>
        <w:gridCol w:w="488"/>
        <w:gridCol w:w="488"/>
        <w:gridCol w:w="180"/>
        <w:gridCol w:w="109"/>
        <w:gridCol w:w="109"/>
        <w:gridCol w:w="109"/>
        <w:gridCol w:w="606"/>
        <w:gridCol w:w="370"/>
        <w:gridCol w:w="217"/>
        <w:gridCol w:w="217"/>
        <w:gridCol w:w="217"/>
        <w:gridCol w:w="217"/>
        <w:gridCol w:w="606"/>
        <w:gridCol w:w="370"/>
        <w:gridCol w:w="316"/>
      </w:tblGrid>
      <w:tr>
        <w:trPr/>
        <w:tc>
          <w:tcPr>
            <w:tcW w:w="141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1,905,404 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2,102,627 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1,905,404 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2,102,627 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Unvested restricted stock units and performance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654,792 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654,792 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515,596 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Potential shares issuable under the 2020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2,564,063 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2,634,163 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2,564,063 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2,634,163 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Common shares issuable upon exercise of the pre-funded warrants that were sold in connection with the January 2024, April 2024, and October 2025 underwritten public offerings are included in the calculation of basic weighted average number of common shares outstanding for the three and six months ended June 30, 2026 and 2025.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basic net loss per share from the date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11. Related Party Transactions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12. Segment Information</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has one operating segment. The Company's operating segment discovers and develops therapies for CNS disorders. The Company's chief operating decision maker ("CODM"), its Chief Executive Officer, manages the Company's operations on a consolidated basis for the purposes of assessing performance and allocating resources based on net loss that also is reported on the condensed consolidated statement of operations as consolidated net loss. Net loss is used by the CODM to make key strategic and operational decisions. The measure of segment assets is reported on the condensed consolidated balance sheet as total consolidated assets. The majority of the Company's long-lived assets are held in the United States.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presents selected financial information about the Company's single operating segment for the three and six months ended June 30, 2026 and 2025 (in thousands):</w:t>
      </w:r>
    </w:p>
    <w:tbl>
      <w:tblPr>
        <w:tblW w:w="8790" w:type="dxa"/>
        <w:jc w:val="left"/>
        <w:tblInd w:w="0" w:type="dxa"/>
        <w:tblLayout w:type="fixed"/>
        <w:tblCellMar>
          <w:top w:w="28" w:type="dxa"/>
          <w:left w:w="28" w:type="dxa"/>
          <w:bottom w:w="28" w:type="dxa"/>
          <w:right w:w="28" w:type="dxa"/>
        </w:tblCellMar>
      </w:tblPr>
      <w:tblGrid>
        <w:gridCol w:w="1120"/>
        <w:gridCol w:w="983"/>
        <w:gridCol w:w="987"/>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Program-specific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Ulixacaltamide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Vormatrigine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Relutrigine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Elsunersen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early stage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(a) Other segment expenses includes research and development and general and administrative costs not attributable to a specific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13. Subsequent Events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Company considers events or transactions that occur after the balance sheet date but prior to the issuance of the condensed consolidated financial statements to provide additional evidence for certain estimates or identify matters that require additional disclosure. The Company has concluded that no subsequent events have occurred that require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for the year ended December 31, 2025, which was filed with the Securities and Exchange Commission, or the SEC, on February 19, 2026.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2025,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are a fully integrated, leading central nervous system, or CNS, precision neuroscience biopharmaceutical company translating insights from genetic epilepsies into the development of therapies for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Cerebrum</w:t>
      </w:r>
      <w:r>
        <w:rPr>
          <w:color w:val="000000"/>
        </w:rPr>
        <w:t>™</w:t>
      </w:r>
      <w:r>
        <w:rPr>
          <w:rFonts w:ascii="Arial;sans-serif" w:hAnsi="Arial;sans-serif"/>
          <w:b w:val="false"/>
          <w:color w:val="000000"/>
          <w:sz w:val="20"/>
        </w:rPr>
        <w:t xml:space="preserve">, our small molecule platform, utilizes deep understanding of neuronal excitability and neuronal networks and applies a series of computational and experimental tools to develop orally available precision therapies </w:t>
      </w:r>
    </w:p>
    <w:p>
      <w:pPr>
        <w:pStyle w:val="TextBody"/>
        <w:bidi w:val="0"/>
        <w:spacing w:lineRule="auto" w:line="288" w:before="180" w:after="283"/>
        <w:ind w:left="0" w:right="0" w:hanging="360"/>
        <w:jc w:val="left"/>
        <w:rPr/>
      </w:pPr>
      <w:r>
        <w:rPr>
          <w:color w:val="000000"/>
        </w:rPr>
        <w:t>•</w:t>
      </w:r>
      <w:r>
        <w:rPr>
          <w:rFonts w:ascii="Arial;sans-serif" w:hAnsi="Arial;sans-serif"/>
          <w:b/>
          <w:i/>
          <w:color w:val="000000"/>
          <w:sz w:val="20"/>
        </w:rPr>
        <w:t>Solidus</w:t>
      </w:r>
      <w:r>
        <w:rPr>
          <w:color w:val="000000"/>
        </w:rPr>
        <w:t>™</w:t>
      </w:r>
      <w:r>
        <w:rPr>
          <w:rFonts w:ascii="Arial;sans-serif" w:hAnsi="Arial;sans-serif"/>
          <w:b w:val="false"/>
          <w:color w:val="000000"/>
          <w:sz w:val="20"/>
        </w:rPr>
        <w:t xml:space="preserve">, our antisense oligonucleotide, or ASO, platform, is an efficient, targeted precision medicine discovery and development engine anchored on a proprietary, computational methodology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late-stage product candidates across movement disorders and epilepsy.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For our ulixacaltamide program within the Cerebrum™ platform, we submitted a New Drug Application, or NDA, for ulixacaltamide HCl for the treatment of essential tremor, or ET, to the FDA based on the positive results of our two studies in the Phase 3 Essential3 program in ET, and it was accepted for review with a target action date under the Prescription Drug User Fee Act, or PDUFA, of January 29, 2027. The mid-cycle meeting was successfully completed and the FDA has identified no major safety or efficacy concerns to date. The agency confirmed that no advisory committee meeting is planned. In anticipation of potential approval, commercial preparations and pre-launch activities are ongoing. In July 2026, we entered into a research collaboration and license agreement with Remagine Labs, Inc., a developer of electronically controlled transdermal drug delivery systems, to develop an iontophoretic transdermal patch for the delivery of ulixacaltamide.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For our relutrigine program within the Cerebrum™ platform, we submitted an NDA for relutrigine for the treatment of SCN2A and SCN8A developmental and epileptic encephalopathies, or DEEs, to the FDA based on the positive results from the registrational cohort of the EMBOLD study in SCN2A-DEE and SCN8A-DEE, and it was accepted for priority review with a target PDUFA action date of September 27, 2026. In June 2026, the FDA notified us that it had extended by three months the review period for our NDA for relutrigine, setting an updated PDUFA action date of December 27, 2026. The mid-cycle meeting was successfully completed and the FDA has identified no major safety or efficacy concerns to date. The agency confirmed that no advisory committee meeting is planned. In anticipation of potential approval, commercial preparations and pre-launch activities are ongoing. The EMERALD study, which is evaluating relutrigine in patients with broad DEEs, has completed recruitment, with topline results anticipated in the fourth quarter of 2026. Assuming approval of the NDA for relutrigine, we believe the EMERALD study, if positive, could serve as the basis for a supplemental NDA, or sNDA, submission in 2027.</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FDA has completed its Bioresearch Monitoring, or BIMO, inspection as part of its ongoing review of the ulixacaltamide and relutrigine NDAs. The BIMO inspection was conducted jointly for both applications,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scope of the inspection was comprehensive, spanning overall quality and clinical operations, data integrity, including statistical and interim analyses, and safety, amongst other standard areas in the BIMO program. The inspection was completed successfully, and no form 483 was issued.</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For our vormatrigine program within the Cerebrum™ platform, our ENERGY program is ongoing, which consists of five studies to generate patient eligibility, efficacy, safety and pharmacokinetics, or PK, data in patients with focal onset seizures, or FOS, or generalized epilepsy. Studies under the ENERGY program include EMPOWER, RADIANT, POWER1, POWER2 and POWER3. In the second half of 2025, we announced positive results from our RADIANT Phase 2 open-label study evaluating the PK, safety and efficacy of vormatrigine in patients with FOS or generalized epilepsy. We initiated the EMPOWER study, an observational study of vormatrigine in patients with epilepsy, in the third quarter of 2024. In June 2026, we announced that the primary endpoint was not met in our POWER1 study, a double-blind, placebo-controlled, 12-week study in FOS. We paused enrollment in POWER2, our third efficacy study, to reassess the vormatrigine program and determine potential modifications. We intend to restart enrollment of the POWER2 study and initiate the POWER3 study, a clinical trial evaluating vormatrigine as a single-agent treatment for FOS, in the fourth quarter of 2026.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For our most advanced product candidate under the Solidus™ platform, elsunersen, we announced positive topline results in April 2026 from the EMBRAVE Part A study evaluating the safety and efficacy of elsunersen versus sham procedure for treating SCN2A gain-of-function DEE. In June 2026, we received FDA breakthrough therapy designation for elsunersen for the treatment of seizures associated with SCN2A DEEs caused by gain-of-function variants. We are currently enrolling EMBRAVE3, a Phase 3 registrational study for early-seizure-onset SCN2A DEE, and expect to announce topline results in 2027.</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We also have three earlier stage novel ASOs with preclinical proof of mechanism. PRAX-080 is focused on PCDH19 mosaic expression, PRAX-090 is targeting SYNGAP1 loss-of-function, or LoF, mutations which is a leading cause of severe intellectual disability and epilepsy in DEEs, and PRAX-100 is targeting SCN2A LoF mutations, the predominant genetic link to de novo autism spectrum disorders, or ASD. We anticipate nominating several development candidates in 2026.</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a development stage company and we have not generated any revenue from product sales. All of our product candidates are in preclinical and clinical development or awaiting regulatory approval.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$176.3 million for the six months ended June 30, 2026. As of June 30, 2026, we had an accumulated deficit of $1.3 billion. We expect to incur significant expenses for the foreseeable future as we expand our research and development activities and prepare for commercialization of our product candidates.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prepare for the potential commercialization of ulixacaltamide, for which we have submitted an NDA to the FDA that has been accepted for review, after successful completion of our Phase 3 Essential3 program for ET;</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prepare for the potential commercialization of relutrigine, for which we have submitted an NDA to the FDA which has been accepted for review after a successful interim analysis in the EMBOLD clinical trial, and advance relutrigine in the EMERALD clinical trial;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advance vormatrigine in the ENERGY clinical trials for FOS or generalized epilepsy;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advance elsunersen in the EMBRAVE3 pivotal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advance our preclinical candidates to clinical trials;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further invest in our pipeline;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further invest in our manufacturing capabilities;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continue to seek regulatory approval for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maintain, expand, protect and defend our IP portfolio;</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acquire or in-license technology;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continue building our sales, marketing and distribution infrastructure to commercialize any products for which we may obtain marketing approval;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increase our headcount to support our development and commercialization efforts.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a result, we will need substantial capital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of June 30, 2026, we had cash, cash equivalents and marketable securities of $1.4 billion. We expect that our cash, cash equivalents, and marketable securities as of June 30, 2026 will be sufficient to fund our operating expenditures and capital expenditure requirements necessary to advance our operating activities into 2028. The analysis included consideration of our current financial needs and ongoing research and development and commercialization plans. We have based this estimate on assumptions that may prove to be wrong, and we could exhaust our available capital resources sooner than we expect. See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Financial Operations Overview</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not generated any revenue from the sale of products since inception and our ability to generate revenue from the sale of products in the future will be dependent on regulatory approval of our product candidates. If our development efforts for our current or future product candidates are successful and result in marketing approval or collaboration or license agreements with third parties, we may generate revenue in the future from a combination of product sales or payments from such collaboration or license agreements.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nature of our business and primary focus of our activities generate a significant amount of research and development costs. Research and development expenses represent costs incurred by us for the following: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costs to develop our portfolio;</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discovery efforts leading to development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clinical development costs for our product candidates;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costs to develop our manufacturing technology and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costs above comprise the following categories: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personnel-related expenses, including salaries, benefits and stock-based compensation expense;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expenses incurred under agreements with third parties, such as consultants, investigative sites and CROs, that conduct our preclinical and clinical studies and in-licensing arrangements;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costs incurred to maintain compliance with regulatory requirements;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costs incurred with third-party contract development and manufacturing organizations to acquire, develop and manufacture materials for preclinical and clinical studies;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depreciation, amortization and other direct and allocated expenses, including rent and other operating costs, such as information technology, incurred as a result of our research and development activities.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As a company operating in a virtual environment, a significant portion of our research and development costs have been external costs incurred by third-parties.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reflects our research and development expenses, including direct expenses summarized by platform and indirect or shared operating costs recognized as research and development expenses during the periods presented below (in thousands):</w:t>
      </w:r>
    </w:p>
    <w:tbl>
      <w:tblPr>
        <w:tblW w:w="10139" w:type="dxa"/>
        <w:jc w:val="center"/>
        <w:tblInd w:w="0" w:type="dxa"/>
        <w:tblLayout w:type="fixed"/>
        <w:tblCellMar>
          <w:top w:w="28" w:type="dxa"/>
          <w:left w:w="28" w:type="dxa"/>
          <w:bottom w:w="28" w:type="dxa"/>
          <w:right w:w="28" w:type="dxa"/>
        </w:tblCellMar>
      </w:tblPr>
      <w:tblGrid>
        <w:gridCol w:w="1713"/>
        <w:gridCol w:w="1507"/>
        <w:gridCol w:w="151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Cerebrum™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Solidus™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Personnel-related (including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indirect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if approved, or licensing of our product candidates. This is due to the numerous risks and uncertainties associated with drug development, including the uncertainty of:</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successfully develop, obtain regulatory approval for, and then successfully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receipt of marketing approvals from applicable regulatory authorities;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our ability to commercialize products, if approved, whether alone or in collaboration with others;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add and retain key research and development personnel;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timing and progress of preclinical and clinical development activities;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number and scope of preclinical and clinical programs we decide to pursue;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successfully complete clinical trials with safety, tolerability and efficacy profiles that are satisfactory to the FDA or any comparable foreign regulatory authority;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successful enrollment in and completion of clinical trials;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costs associated with the development of any additional product candidates we identify in-house or acquire through collaborations;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discover, develop and utilize biomarkers to demonstrate target engagement, pathway engagement and the impact on disease progression of our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establish and maintain agreements with third-party manufacturers for clinical supply for our clinical trials and commercial manufacturing, if our product candidates are approved;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terms and timing of any collaboration, license or other arrangement, including the terms and timing of any milestone payments thereunder;</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our ability to obtain and maintain patent, trade secret and other IP protection and regulatory exclusivity for our product candidates, if approved;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continued acceptable safety profiles of our product candidates.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120" w:after="283"/>
        <w:ind w:left="0" w:right="0" w:firstLine="495"/>
        <w:jc w:val="left"/>
        <w:rPr/>
      </w:pPr>
      <w:r>
        <w:rPr>
          <w:rFonts w:ascii="Arial;sans-serif" w:hAnsi="Arial;sans-serif"/>
          <w:b w:val="false"/>
          <w:color w:val="000000"/>
          <w:sz w:val="20"/>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as we prepare for the potential launch of our product candidates;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w:t>
      </w:r>
      <w:r>
        <w:rPr>
          <w:color w:val="000000"/>
          <w:shd w:fill="FFFFFF" w:val="clear"/>
        </w:rPr>
        <w:t xml:space="preserve"> </w:t>
      </w:r>
      <w:r>
        <w:rPr>
          <w:rFonts w:ascii="Arial;sans-serif" w:hAnsi="Arial;sans-serif"/>
          <w:b w:val="false"/>
          <w:color w:val="000000"/>
          <w:sz w:val="20"/>
          <w:shd w:fill="FFFFFF" w:val="clear"/>
        </w:rPr>
        <w:t>or any individual platform or product candidate.</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Other income, net consists of interest income from our cash, cash equivalents and marketable securities and amortization of investment premiums and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Comparison of the Three Months Ended June 30, 2026 and 2025</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condensed consolidated statements of operations for each period presented (in thousands):</w:t>
      </w:r>
    </w:p>
    <w:tbl>
      <w:tblPr>
        <w:tblW w:w="6431" w:type="dxa"/>
        <w:jc w:val="left"/>
        <w:tblInd w:w="0" w:type="dxa"/>
        <w:tblLayout w:type="fixed"/>
        <w:tblCellMar>
          <w:top w:w="28" w:type="dxa"/>
          <w:left w:w="28" w:type="dxa"/>
          <w:bottom w:w="28" w:type="dxa"/>
          <w:right w:w="28" w:type="dxa"/>
        </w:tblCellMar>
      </w:tblPr>
      <w:tblGrid>
        <w:gridCol w:w="863"/>
        <w:gridCol w:w="758"/>
        <w:gridCol w:w="763"/>
        <w:gridCol w:w="211"/>
        <w:gridCol w:w="796"/>
        <w:gridCol w:w="109"/>
        <w:gridCol w:w="109"/>
        <w:gridCol w:w="109"/>
        <w:gridCol w:w="109"/>
        <w:gridCol w:w="211"/>
        <w:gridCol w:w="796"/>
        <w:gridCol w:w="109"/>
        <w:gridCol w:w="109"/>
        <w:gridCol w:w="109"/>
        <w:gridCol w:w="109"/>
        <w:gridCol w:w="211"/>
        <w:gridCol w:w="79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research and development expenses for each period presented, along with the changes in those items (in thousands):</w:t>
      </w:r>
    </w:p>
    <w:tbl>
      <w:tblPr>
        <w:tblW w:w="8531" w:type="dxa"/>
        <w:jc w:val="center"/>
        <w:tblInd w:w="0" w:type="dxa"/>
        <w:tblLayout w:type="fixed"/>
        <w:tblCellMar>
          <w:top w:w="28" w:type="dxa"/>
          <w:left w:w="28" w:type="dxa"/>
          <w:bottom w:w="28" w:type="dxa"/>
          <w:right w:w="28" w:type="dxa"/>
        </w:tblCellMar>
      </w:tblPr>
      <w:tblGrid>
        <w:gridCol w:w="1713"/>
        <w:gridCol w:w="1507"/>
        <w:gridCol w:w="1519"/>
        <w:gridCol w:w="211"/>
        <w:gridCol w:w="721"/>
        <w:gridCol w:w="109"/>
        <w:gridCol w:w="109"/>
        <w:gridCol w:w="109"/>
        <w:gridCol w:w="109"/>
        <w:gridCol w:w="211"/>
        <w:gridCol w:w="721"/>
        <w:gridCol w:w="109"/>
        <w:gridCol w:w="109"/>
        <w:gridCol w:w="109"/>
        <w:gridCol w:w="109"/>
        <w:gridCol w:w="211"/>
        <w:gridCol w:w="691"/>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Cerebrum™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Solidus™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Personnel-related (including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indirect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$6.4 million increase in research and development expenses was primarily attributable to the following: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$6.7 million increase in expense related to our Solidus™ platform, driven primarily by a $5.0 million milestone payment due to Ionis Pharmaceuticals Inc., or Ionis, upon completion of our EMBRAVE Part A study, as well as spend for our EMBRAVE3 pivotal clinical trial;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$6.5 million decrease in expense related to our Cerebrum™ platform, driven primarily by: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$6.6 million decrease in spend for our ulixacaltamide program, driven primarily by decreased activity in the Essential3 study, partially offset by increased manufacturing costs to support commercialization;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$4.8 million decrease in spend for our vormatrigine program, primarily driven by lower spend for our ENERGY program, partially offset by,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$4.2 million increase in activities for our earlier stage assets as we advance our portfolio.</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$4.4 million increase in personnel-related costs mainly due to increased headcount;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$1.8 million increase in indirect expenses driven primarily by consulting spend to support operations.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$14.4 million increase in general and administrative expenses was primarily attributable to the following: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$7.2 million increase in professional expenses, primarily attributable to increased commercial spend as we prepare for the potential launches of ulixacaltamide and relutrigine;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 xml:space="preserve">$6.3 million increase in personnel-related costs mainly due to increased headcount.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Comparison of the Six Months Ended June 30, 2026 and 2025</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condensed consolidated statements of operations for each period presented (in thousands):</w:t>
      </w:r>
    </w:p>
    <w:tbl>
      <w:tblPr>
        <w:tblW w:w="6641" w:type="dxa"/>
        <w:jc w:val="left"/>
        <w:tblInd w:w="0" w:type="dxa"/>
        <w:tblLayout w:type="fixed"/>
        <w:tblCellMar>
          <w:top w:w="28" w:type="dxa"/>
          <w:left w:w="28" w:type="dxa"/>
          <w:bottom w:w="28" w:type="dxa"/>
          <w:right w:w="28" w:type="dxa"/>
        </w:tblCellMar>
      </w:tblPr>
      <w:tblGrid>
        <w:gridCol w:w="863"/>
        <w:gridCol w:w="758"/>
        <w:gridCol w:w="763"/>
        <w:gridCol w:w="211"/>
        <w:gridCol w:w="901"/>
        <w:gridCol w:w="109"/>
        <w:gridCol w:w="109"/>
        <w:gridCol w:w="109"/>
        <w:gridCol w:w="109"/>
        <w:gridCol w:w="211"/>
        <w:gridCol w:w="901"/>
        <w:gridCol w:w="109"/>
        <w:gridCol w:w="109"/>
        <w:gridCol w:w="109"/>
        <w:gridCol w:w="109"/>
        <w:gridCol w:w="211"/>
        <w:gridCol w:w="79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(176,281)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(35,858)</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summarizes our research and development expenses for each period presented, along with the changes in those items (in thousands):</w:t>
      </w:r>
    </w:p>
    <w:tbl>
      <w:tblPr>
        <w:tblW w:w="8771" w:type="dxa"/>
        <w:jc w:val="center"/>
        <w:tblInd w:w="0" w:type="dxa"/>
        <w:tblLayout w:type="fixed"/>
        <w:tblCellMar>
          <w:top w:w="28" w:type="dxa"/>
          <w:left w:w="28" w:type="dxa"/>
          <w:bottom w:w="28" w:type="dxa"/>
          <w:right w:w="28" w:type="dxa"/>
        </w:tblCellMar>
      </w:tblPr>
      <w:tblGrid>
        <w:gridCol w:w="1713"/>
        <w:gridCol w:w="1507"/>
        <w:gridCol w:w="1519"/>
        <w:gridCol w:w="211"/>
        <w:gridCol w:w="826"/>
        <w:gridCol w:w="109"/>
        <w:gridCol w:w="109"/>
        <w:gridCol w:w="109"/>
        <w:gridCol w:w="109"/>
        <w:gridCol w:w="211"/>
        <w:gridCol w:w="826"/>
        <w:gridCol w:w="109"/>
        <w:gridCol w:w="109"/>
        <w:gridCol w:w="109"/>
        <w:gridCol w:w="109"/>
        <w:gridCol w:w="211"/>
        <w:gridCol w:w="721"/>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Cerebrum™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Solidus™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Personnel-related (including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indirect 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The $23.6 million increase in research and development expenses was primarily attributable to the following: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$2.6 million increase in expense related to our Cerebrum™ platform, driven primarily by: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$7.6 million increase in spend for our relutrigine program, primarily related to our EMERALD trial activities and manufacturing spend to support commercialization;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$5.9 million</w:t>
      </w:r>
      <w:r>
        <w:rPr>
          <w:color w:val="000000"/>
        </w:rPr>
        <w:t xml:space="preserve"> </w:t>
      </w:r>
      <w:r>
        <w:rPr>
          <w:rFonts w:ascii="Arial;sans-serif" w:hAnsi="Arial;sans-serif"/>
          <w:b w:val="false"/>
          <w:color w:val="000000"/>
          <w:sz w:val="20"/>
        </w:rPr>
        <w:t xml:space="preserve">increase in activities for our earlier stage assets as we advance our portfolio;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$2.1 million increase in spend for our vormatrigine program, primarily driven by spend for our ENERGY program,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$13.0 million decrease in spend for our ulixacaltamide program, driven primarily by decreased activity in the Essential3 study, partially offset by increased manufacturing costs to support commercialization and the PDUFA fee paid in the first quarter of 2026.</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$9.7 million</w:t>
      </w:r>
      <w:r>
        <w:rPr>
          <w:color w:val="000000"/>
        </w:rPr>
        <w:t xml:space="preserve"> </w:t>
      </w:r>
      <w:r>
        <w:rPr>
          <w:rFonts w:ascii="Arial;sans-serif" w:hAnsi="Arial;sans-serif"/>
          <w:b w:val="false"/>
          <w:color w:val="000000"/>
          <w:sz w:val="20"/>
        </w:rPr>
        <w:t>increase in expense related to our Solidus™ platform, driven primarily by a $5.0 million milestone payment due to Ionis Pharmaceuticals Inc., or Ionis, upon completion of our EMBRAVE Part A study, as well as spend for our EMBRAVE3 pivotal clinical trial;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$8.2 million increase in personnel-related costs due to increased headcount;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$3.1 million increase in indirect expenses driven primarily by consulting spend to support operations.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180" w:after="283"/>
        <w:ind w:left="0" w:right="0" w:firstLine="495"/>
        <w:jc w:val="left"/>
        <w:rPr>
          <w:rFonts w:ascii="Arial;sans-serif" w:hAnsi="Arial;sans-serif"/>
          <w:b w:val="false"/>
          <w:color w:val="000000"/>
          <w:sz w:val="20"/>
        </w:rPr>
      </w:pPr>
      <w:r>
        <w:rPr>
          <w:rFonts w:ascii="Arial;sans-serif" w:hAnsi="Arial;sans-serif"/>
          <w:b w:val="false"/>
          <w:color w:val="000000"/>
          <w:sz w:val="20"/>
        </w:rPr>
        <w:t>The $28.4 million increase in general and administrative expenses was primarily attributable to the following:</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$15.5 million increase in personnel-related costs mainly due to increased stock-based compensation expense and increased headcount;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$11.3 million increase in professional expenses, primarily attributable to increased commercial spend as we prepare for the potential launches of ulixacaltamide and relutrigine.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Since our inception, we have incurred significant losses in each period. We have not yet commercialized any of our product candidates, which are in various phases of preclinical and clinical development or awaiting regulatory review, and we may not generate meaningful revenue from product sales in the near term, if at all.</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To date, we have financed our operations primarily with proceeds from the issuance of redeemable convertible preferred stock and from the sale of common stock through an initial public offering, common stock and pre-funded warrants through follow-on public offerings and common stock from at-the-market offerings under our shelf registration statement. From inception through June 30, 2026, we have raised $2.4 billion in aggregate cash proceeds from such transactions, net of issuance costs. As of June 30, 2026, we had cash, cash equivalents, and marketable securities of $1.4 billion. </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In March 2024, we entered into an Open Market Sale Agreement, or the 2024 Sales Agreement, with Jefferies LLC, or Jefferies, to provide for the offering, issuance, and sale of up to an aggregate amount of $150.0 million of common stock in at-the-market offerings. In December 2024, we entered into an amendment to the 2024 Sales Agreement with Jefferies to provide for the offering, issuance and sale of up to an aggregate amount of $250.0 million of common stock from time to time in at-the-market offerings. During the six months ended June 30, 2025, we issued and sold an aggregate of 1,351,689 shares under the amended 2024 Sales Agreement for aggregate net proceeds of $83.3 million, after deducting commissions and offering expenses payable by us. The amended 2024 Sales Agreement was terminated in September 2025.</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In September 2025, we entered into a Sales Agreement, or the 2025 Sales Agreement, with TD Securities (USA) LLC, or TD Cowen, to provide for the offering, issuance and sale of up to an aggregate of $250.0 million of common stock from time to time in at-the-market offerings. During the six months ended June 30, 2026, we did not issue or sell any shares of common stock under the 2025 Sales Agreement.</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In October 2025, we completed a public offering of: (i) an aggregate of 3,527,072 shares of our common stock at a public offering price of $157.00 per share, including the underwriters' full exercise of their option to purchase 501,592 additional shares of common stock, and (ii) pre-funded warrants to purchase 318,470 shares of common stock at a public offering price of $156.9999 per share of common stock underlying the warrants. The purchase price per share of each pre-funded warrant represents the per share offering price for the common stock, less the $0.0001 per share exercise price of each underlying share. Total net proceeds generated from the offering were $567.1 million, after deducting underwriting discounts, commissions, and other offering expenses payable by us. As of June 30, 2026, none of the pre-funded warrants had been exercised and all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In January 2026, we completed a public offering of 2,543,800 shares of our common stock at a public offering price of $260.00 per share, including the underwriters' full exercise of their option to purchase 331,800 additional shares of common stock. Total net proceeds generated from the offering were approximately $621.2 million, after deducting underwriting discounts, commissions and other offering expenses payable by us.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 following table provides information regarding our cash flows for each period presented (in thousands):</w:t>
      </w:r>
    </w:p>
    <w:tbl>
      <w:tblPr>
        <w:tblW w:w="8588" w:type="dxa"/>
        <w:jc w:val="left"/>
        <w:tblInd w:w="0" w:type="dxa"/>
        <w:tblLayout w:type="fixed"/>
        <w:tblCellMar>
          <w:top w:w="28" w:type="dxa"/>
          <w:left w:w="28" w:type="dxa"/>
          <w:bottom w:w="28" w:type="dxa"/>
          <w:right w:w="28" w:type="dxa"/>
        </w:tblCellMar>
      </w:tblPr>
      <w:tblGrid>
        <w:gridCol w:w="2088"/>
        <w:gridCol w:w="1833"/>
        <w:gridCol w:w="1853"/>
        <w:gridCol w:w="211"/>
        <w:gridCol w:w="901"/>
        <w:gridCol w:w="109"/>
        <w:gridCol w:w="109"/>
        <w:gridCol w:w="109"/>
        <w:gridCol w:w="109"/>
        <w:gridCol w:w="211"/>
        <w:gridCol w:w="901"/>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2026, net cash used in operating activities of $163.7 million was primarily due to our $176.3 million net loss and $15.1 million in changes in operating assets and liabilities primarily related to a decrease in accrued expenses, partially offset by $27.7 million of non-cash charges primarily related to stock-based compensation.</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2025, net cash used in operating activities of $107.7 million was primarily due to our $140.4 million net loss, partially offset by $17.8 million in changes in operating assets and liabilities primarily related to an increase in accounts payable and $14.9 million of non-cash charges primarily related to stock-based compensation.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2026, net cash used in investing activities of $333.3 million was primarily related to purchases of marketable securities offset by maturities of marketable securities.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2025, net cash used in investing activities of $33.2 million was primarily related to purchases of marketable securities offset by maturities of marketable securities.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2026, net cash provided by financing activities of $614.0 million consisted primarily of net proceeds from our January 2026 follow-on offering.</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During the six months ended June 30, 2025, net cash provided by financing activities of $82.9 million consisted primarily of net proceeds from our at-the-market offerings.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Plan of Operation and Future Funding Requirements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expect our expenses to increase substantially in connection with our ongoing research and development activities, particularly as we advance the preclinical activities and clinical trials of our product candidates, and our commercialization activities as we prepare for the potential approval of our product candidates. As a result, we expect to incur substantial operating expenses for the foreseeable future. We anticipate that our expenses will increase substantially if and as we: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continue to build a sales, marketing, technology and distribution infrastructure and scale-up manufacturing capabilities to commercialize any products for which we may obtain regulatory approval;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advance the clinical development of our clinical-stage product candidates within our Cerebrum™ and Solidus™ platforms;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advance the development of any additional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conduct research and continue preclinical development of potential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make strategic investments in manufacturing capabilities;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maintain our IP portfolio and opportunistically acquire complementary IP;</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seek to obtain regulatory approvals for our product candidates;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when needed, add clinical, scientific, operational, financial and management information systems and personnel, including personnel to support our product development and commercialization efforts and to support our operations as a public company;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experience any delays or encounter any issues with any of the above, including but not limited to failed studies, complex results, safety issues or other regulatory challenges.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We are unable to estimate the exact amount of our working capital requirements, but based on our current operating plan, we believe that our cash, cash equivalents, and marketable securities as of June 30, 2026 will be sufficient to fund our operating expenditures and capital expenditure requirements into 2028. However, we have based this estimate on assumptions that may prove to be wrong and we could exhaust our capital resources sooner than we expect.</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scope, progress, results and costs of preclinical studies and clinical trials for our platforms and product candidates;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number and characteristics of product candidates and technologies that we develop or may in-license;</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costs necessary to obtain regulatory approvals, if any, for products in the United States and other jurisdictions, and the costs of post-marketing studies that could be required by regulatory authorities in jurisdictions where approval is obtained;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costs and timing of preparing, filing and prosecuting patent applications, maintaining and enforcing our IP rights and defending any IP-related claims;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continuation of our existing licensing arrangements and entry into new collaborations and licensing arrangements;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costs we incur in maintaining business operations;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costs associated with being a public company;</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revenue, if any, received from commercial sales of any product candidates for which we receive marketing approval;</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effect of competing technological and market developments;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Accordingly, we may need to obtain substantial additional funds to achieve our business objectives.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Critical Accounting Policies and Significant Judgments and Estimates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19, 2026, other than as disclosed in Note 2 to our condensed consolidated financial statements appearing elsewhere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 xml:space="preserve">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However, because of the low risk profile of the instruments in our portfolio at any given time, an immediate change in market interest rates of 100 basis points would not have a material impact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Management’s Evaluation of Our Disclosure Controls and Procedures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Item 1. Legal Proceedings. </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There have been no material changes from the risk factors previously disclosed in the section entitled "Risk Factors" of our Annual Report on Form 10-K for the year ended December 31, 2025 filed with the SEC on 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Recent Sales of Unregistered Equity Securities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We did not make any sales of unregistered securities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283"/>
        <w:ind w:left="0" w:right="0" w:hanging="450"/>
        <w:jc w:val="left"/>
        <w:rPr>
          <w:rFonts w:ascii="Arial;sans-serif" w:hAnsi="Arial;sans-serif"/>
          <w:b w:val="false"/>
          <w:color w:val="000000"/>
          <w:sz w:val="20"/>
        </w:rPr>
      </w:pPr>
      <w:r>
        <w:rPr>
          <w:rFonts w:ascii="Arial;sans-serif" w:hAnsi="Arial;sans-serif"/>
          <w:b w:val="false"/>
          <w:color w:val="000000"/>
          <w:sz w:val="20"/>
        </w:rPr>
        <w:t>(a)     Disclosure in lieu of reporting on a Current Report on Form 8-K.</w:t>
      </w:r>
    </w:p>
    <w:p>
      <w:pPr>
        <w:pStyle w:val="TextBody"/>
        <w:bidi w:val="0"/>
        <w:spacing w:lineRule="auto" w:line="288" w:before="120" w:after="283"/>
        <w:ind w:left="0" w:right="0" w:firstLine="18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20" w:after="283"/>
        <w:ind w:left="0" w:right="0" w:hanging="450"/>
        <w:jc w:val="left"/>
        <w:rPr>
          <w:rFonts w:ascii="Arial;sans-serif" w:hAnsi="Arial;sans-serif"/>
          <w:b w:val="false"/>
          <w:color w:val="000000"/>
          <w:sz w:val="20"/>
        </w:rPr>
      </w:pPr>
      <w:r>
        <w:rPr>
          <w:rFonts w:ascii="Arial;sans-serif" w:hAnsi="Arial;sans-serif"/>
          <w:b w:val="false"/>
          <w:color w:val="000000"/>
          <w:sz w:val="20"/>
        </w:rPr>
        <w:t>(b)     Material changes to the procedures by which security holders may recommend nominees to the board of directors.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120" w:after="283"/>
        <w:ind w:left="0" w:right="0" w:hanging="450"/>
        <w:jc w:val="left"/>
        <w:rPr>
          <w:rFonts w:ascii="Arial;sans-serif" w:hAnsi="Arial;sans-serif"/>
          <w:b w:val="false"/>
          <w:color w:val="000000"/>
          <w:sz w:val="20"/>
        </w:rPr>
      </w:pPr>
      <w:r>
        <w:rPr>
          <w:rFonts w:ascii="Arial;sans-serif" w:hAnsi="Arial;sans-serif"/>
          <w:b w:val="false"/>
          <w:color w:val="000000"/>
          <w:sz w:val="20"/>
        </w:rPr>
        <w:t>(c)    Insider Trading Arrangements and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120" w:after="283"/>
        <w:ind w:left="0" w:right="0" w:hanging="450"/>
        <w:jc w:val="left"/>
        <w:rPr/>
      </w:pPr>
      <w:r>
        <w:rPr/>
      </w:r>
    </w:p>
    <w:p>
      <w:pPr>
        <w:pStyle w:val="TextBody"/>
        <w:bidi w:val="0"/>
        <w:spacing w:before="120" w:after="283"/>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2992"/>
        <w:gridCol w:w="2810"/>
        <w:gridCol w:w="2838"/>
        <w:gridCol w:w="109"/>
        <w:gridCol w:w="109"/>
        <w:gridCol w:w="156"/>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Praxis Precision Medicines, Inc. (incorporated by reference to Exhibit 3.1 to the Registrant's Current Report on Form 8-K (File No. 001-39620) filed on October 20, 2020).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Certificate of Amendment to the Amended and Restated Certificate of Incorporation (incorporated by reference to Exhibit 3.1 to the Registrant’s Current Report on Form 8-K (File No. 001-39620) filed with the Securities and Exchange Commission on December 1,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Amended and Restated Bylaws of Praxis Precision Medicines, Inc. (incorporated by reference to Exhibit 3.1 to the Registrant's Current Report on Form 8-K (File No. 001-39620) filed on January 7,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Form of Pre-funded Warrant (incorporated by reference to Exhibit 4.1 to the Registrant's Current Report on Form 8-K (File No. 001-39620) filed on January 12,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Form of Pre-funded Warrant (incorporated by reference to Exhibit 4.1 to the Registrant's Current Report on Form 8-K (File No. 001-39620) filed on March 29,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Form of Pre-funded Warrant (incorporated by reference to Exhibit 4.1 to the Registrant's Current Report on Form 8-K (File No. 001-39620) filed on October 20,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30.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0630.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r>
              <w:rPr>
                <w:color w:val="000000"/>
              </w:rPr>
              <w:t xml:space="preserv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30.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0630.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r>
              <w:rPr>
                <w:color w:val="000000"/>
              </w:rPr>
              <w:t xml:space="preserv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60630.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60630.htm">
              <w:r>
                <w:rPr>
                  <w:rStyle w:val="InternetLink"/>
                  <w:rFonts w:ascii="Arial;sans-serif" w:hAnsi="Arial;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*Filed herewith.</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    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231"/>
        <w:gridCol w:w="203"/>
        <w:gridCol w:w="205"/>
        <w:gridCol w:w="463"/>
        <w:gridCol w:w="463"/>
        <w:gridCol w:w="465"/>
        <w:gridCol w:w="378"/>
        <w:gridCol w:w="378"/>
        <w:gridCol w:w="378"/>
        <w:gridCol w:w="378"/>
        <w:gridCol w:w="378"/>
        <w:gridCol w:w="378"/>
        <w:gridCol w:w="1711"/>
        <w:gridCol w:w="1707"/>
        <w:gridCol w:w="2489"/>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PRAXIS PRECISION MEDICINES, INC.</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Marcio Souza</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Marcio Souza</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Executive Officer and Director (Principal Executive Officer)</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Timothy Kelly</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Timothy Kelly</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Marcio Souza,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Praxis Precision Medicines,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54"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34"/>
        <w:gridCol w:w="134"/>
        <w:gridCol w:w="136"/>
        <w:gridCol w:w="109"/>
        <w:gridCol w:w="109"/>
        <w:gridCol w:w="109"/>
        <w:gridCol w:w="722"/>
        <w:gridCol w:w="722"/>
        <w:gridCol w:w="1031"/>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MARCIO SOUZA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Marcio Souza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Timothy Kelly,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Praxis Precision Medicines,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747"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34"/>
        <w:gridCol w:w="134"/>
        <w:gridCol w:w="136"/>
        <w:gridCol w:w="109"/>
        <w:gridCol w:w="109"/>
        <w:gridCol w:w="109"/>
        <w:gridCol w:w="705"/>
        <w:gridCol w:w="705"/>
        <w:gridCol w:w="100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TIMOTHY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Praxis Precision Medicines, Inc. (the “Company”) for the quarter ended June 30, 2026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808"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34"/>
        <w:gridCol w:w="134"/>
        <w:gridCol w:w="136"/>
        <w:gridCol w:w="109"/>
        <w:gridCol w:w="109"/>
        <w:gridCol w:w="109"/>
        <w:gridCol w:w="722"/>
        <w:gridCol w:w="722"/>
        <w:gridCol w:w="1031"/>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MARCIO SOUZA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Marcio Souza</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TIMOTHY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9548/000119312520272877/d94620dex31.htm" TargetMode="External"/><Relationship Id="rId3" Type="http://schemas.openxmlformats.org/officeDocument/2006/relationships/hyperlink" Target="https://www.sec.gov/Archives/edgar/data/1689548/000119312520272877/d94620dex31.htm" TargetMode="External"/><Relationship Id="rId4" Type="http://schemas.openxmlformats.org/officeDocument/2006/relationships/hyperlink" Target="https://www.sec.gov/Archives/edgar/data/1689548/000168954823000162/exhibit31praxis-reversesto.htm" TargetMode="External"/><Relationship Id="rId5" Type="http://schemas.openxmlformats.org/officeDocument/2006/relationships/hyperlink" Target="https://www.sec.gov/Archives/edgar/data/1689548/000168954823000162/exhibit31praxis-reversesto.htm" TargetMode="External"/><Relationship Id="rId6" Type="http://schemas.openxmlformats.org/officeDocument/2006/relationships/hyperlink" Target="https://www.sec.gov/Archives/edgar/data/1689548/000110465922002260/tm222120d1_ex3-1.htm" TargetMode="External"/><Relationship Id="rId7" Type="http://schemas.openxmlformats.org/officeDocument/2006/relationships/hyperlink" Target="https://www.sec.gov/Archives/edgar/data/1689548/000110465922002260/tm222120d1_ex3-1.htm" TargetMode="External"/><Relationship Id="rId8" Type="http://schemas.openxmlformats.org/officeDocument/2006/relationships/hyperlink" Target="https://www.sec.gov/Archives/edgar/data/1689548/000110465924003764/tm243213d1_ex4-1.htm" TargetMode="External"/><Relationship Id="rId9" Type="http://schemas.openxmlformats.org/officeDocument/2006/relationships/hyperlink" Target="https://www.sec.gov/Archives/edgar/data/1689548/000110465924003764/tm243213d1_ex4-1.htm" TargetMode="External"/><Relationship Id="rId10" Type="http://schemas.openxmlformats.org/officeDocument/2006/relationships/hyperlink" Target="https://www.sec.gov/Archives/edgar/data/1689548/000110465924041158/tm247764d6_ex4-1.htm" TargetMode="External"/><Relationship Id="rId11" Type="http://schemas.openxmlformats.org/officeDocument/2006/relationships/hyperlink" Target="https://www.sec.gov/Archives/edgar/data/1689548/000110465924041158/tm247764d6_ex4-1.htm" TargetMode="External"/><Relationship Id="rId12" Type="http://schemas.openxmlformats.org/officeDocument/2006/relationships/hyperlink" Target="https://www.sec.gov/Archives/edgar/data/1689548/000110465925100488/tm2528989d1_ex4-1.htm" TargetMode="External"/><Relationship Id="rId13" Type="http://schemas.openxmlformats.org/officeDocument/2006/relationships/hyperlink" Target="https://www.sec.gov/Archives/edgar/data/1689548/000110465925100488/tm2528989d1_ex4-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18281</Words>
  <Characters>104797</Characters>
  <CharactersWithSpaces>122083</CharactersWithSpaces>
  <Paragraphs>1900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