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PRAXIS PRECISION MEDICINES,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99060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4"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4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001-39620</w:t>
            </w:r>
          </w:p>
        </w:tc>
        <w:tc>
          <w:tcPr>
            <w:tcW w:w="1380" w:type="dxa"/>
            <w:vAlign w:val="bottom"/>
          </w:tcPr>
          <w:p>
            <w:pPr>
              <w:spacing w:after="0"/>
              <w:rPr>
                <w:sz w:val="20"/>
                <w:szCs w:val="20"/>
                <w:color w:val="auto"/>
              </w:rPr>
            </w:pP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47-5195942</w:t>
            </w:r>
          </w:p>
        </w:tc>
      </w:tr>
      <w:tr>
        <w:trPr>
          <w:trHeight w:val="248"/>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240" w:type="dxa"/>
            <w:vAlign w:val="bottom"/>
          </w:tcPr>
          <w:p>
            <w:pPr>
              <w:spacing w:after="0"/>
              <w:rPr>
                <w:sz w:val="21"/>
                <w:szCs w:val="21"/>
                <w:color w:val="auto"/>
              </w:rPr>
            </w:pPr>
          </w:p>
        </w:tc>
        <w:tc>
          <w:tcPr>
            <w:tcW w:w="418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240" w:type="dxa"/>
            <w:vAlign w:val="bottom"/>
          </w:tcPr>
          <w:p>
            <w:pPr>
              <w:spacing w:after="0"/>
              <w:rPr>
                <w:sz w:val="20"/>
                <w:szCs w:val="20"/>
                <w:color w:val="auto"/>
              </w:rPr>
            </w:pPr>
          </w:p>
        </w:tc>
        <w:tc>
          <w:tcPr>
            <w:tcW w:w="418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69"/>
        </w:trPr>
        <w:tc>
          <w:tcPr>
            <w:tcW w:w="2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Praxis Precision Medicines, Inc.</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99 High Street, 30th Floor</w:t>
            </w:r>
          </w:p>
        </w:tc>
        <w:tc>
          <w:tcPr>
            <w:tcW w:w="164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02110</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4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640" w:type="dxa"/>
            <w:vAlign w:val="bottom"/>
          </w:tcPr>
          <w:p>
            <w:pPr>
              <w:spacing w:after="0"/>
              <w:rPr>
                <w:sz w:val="20"/>
                <w:szCs w:val="20"/>
                <w:color w:val="auto"/>
              </w:rPr>
            </w:pPr>
          </w:p>
        </w:tc>
      </w:tr>
      <w:tr>
        <w:trPr>
          <w:trHeight w:val="410"/>
        </w:trPr>
        <w:tc>
          <w:tcPr>
            <w:tcW w:w="2140" w:type="dxa"/>
            <w:vAlign w:val="bottom"/>
          </w:tcPr>
          <w:p>
            <w:pPr>
              <w:spacing w:after="0"/>
              <w:rPr>
                <w:sz w:val="24"/>
                <w:szCs w:val="24"/>
                <w:color w:val="auto"/>
              </w:rPr>
            </w:pPr>
          </w:p>
        </w:tc>
        <w:tc>
          <w:tcPr>
            <w:tcW w:w="404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(617) 300-8460</w:t>
            </w: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54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40" w:type="dxa"/>
            <w:vAlign w:val="bottom"/>
          </w:tcPr>
          <w:p>
            <w:pPr>
              <w:spacing w:after="0"/>
              <w:rPr>
                <w:sz w:val="20"/>
                <w:szCs w:val="20"/>
                <w:color w:val="auto"/>
              </w:rPr>
            </w:pPr>
          </w:p>
        </w:tc>
      </w:tr>
      <w:tr>
        <w:trPr>
          <w:trHeight w:val="410"/>
        </w:trPr>
        <w:tc>
          <w:tcPr>
            <w:tcW w:w="2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4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5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40" w:type="dxa"/>
            <w:vAlign w:val="bottom"/>
          </w:tcPr>
          <w:p>
            <w:pPr>
              <w:spacing w:after="0"/>
              <w:rPr>
                <w:sz w:val="20"/>
                <w:szCs w:val="20"/>
                <w:color w:val="auto"/>
              </w:rPr>
            </w:pPr>
          </w:p>
        </w:tc>
      </w:tr>
      <w:tr>
        <w:trPr>
          <w:trHeight w:val="148"/>
        </w:trPr>
        <w:tc>
          <w:tcPr>
            <w:tcW w:w="2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1640" w:type="dxa"/>
            <w:vAlign w:val="bottom"/>
          </w:tcPr>
          <w:p>
            <w:pPr>
              <w:spacing w:after="0"/>
              <w:rPr>
                <w:sz w:val="12"/>
                <w:szCs w:val="12"/>
                <w:color w:val="auto"/>
              </w:rPr>
            </w:pPr>
          </w:p>
        </w:tc>
      </w:tr>
    </w:tbl>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00" w:firstLine="8"/>
        <w:spacing w:after="0" w:line="514" w:lineRule="auto"/>
        <w:tabs>
          <w:tab w:leader="none" w:pos="29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6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7"/>
              </w:rPr>
              <w:t>Trade</w:t>
            </w:r>
          </w:p>
        </w:tc>
        <w:tc>
          <w:tcPr>
            <w:tcW w:w="3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198"/>
        </w:trPr>
        <w:tc>
          <w:tcPr>
            <w:tcW w:w="10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2720" w:type="dxa"/>
            <w:vAlign w:val="bottom"/>
          </w:tcPr>
          <w:p>
            <w:pPr>
              <w:spacing w:after="0"/>
              <w:rPr>
                <w:sz w:val="17"/>
                <w:szCs w:val="17"/>
                <w:color w:val="auto"/>
              </w:rPr>
            </w:pPr>
          </w:p>
        </w:tc>
        <w:tc>
          <w:tcPr>
            <w:tcW w:w="1800" w:type="dxa"/>
            <w:vAlign w:val="bottom"/>
            <w:gridSpan w:val="2"/>
          </w:tcPr>
          <w:p>
            <w:pPr>
              <w:jc w:val="center"/>
              <w:ind w:right="10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Symbol(s)</w:t>
            </w:r>
          </w:p>
        </w:tc>
        <w:tc>
          <w:tcPr>
            <w:tcW w:w="1580" w:type="dxa"/>
            <w:vAlign w:val="bottom"/>
          </w:tcPr>
          <w:p>
            <w:pPr>
              <w:spacing w:after="0"/>
              <w:rPr>
                <w:sz w:val="17"/>
                <w:szCs w:val="17"/>
                <w:color w:val="auto"/>
              </w:rPr>
            </w:pPr>
          </w:p>
        </w:tc>
        <w:tc>
          <w:tcPr>
            <w:tcW w:w="2060" w:type="dxa"/>
            <w:vAlign w:val="bottom"/>
            <w:gridSpan w:val="2"/>
          </w:tcPr>
          <w:p>
            <w:pPr>
              <w:jc w:val="center"/>
              <w:ind w:right="5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0"/>
        </w:trPr>
        <w:tc>
          <w:tcPr>
            <w:tcW w:w="10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91"/>
        </w:trPr>
        <w:tc>
          <w:tcPr>
            <w:tcW w:w="510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80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PRAX</w:t>
            </w:r>
          </w:p>
        </w:tc>
        <w:tc>
          <w:tcPr>
            <w:tcW w:w="3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Dismissal of Independent Registered Public Accounting Firm</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June 29, 2026, the Audit Committee of the Board of Directors (the "Audit Committee") of Praxis Precision Medicines, Inc. (the "Company") approved the dismissal of Ernst &amp; Young LLP ("EY") as the Company's independent registered public accounting firm, effective as of that date.</w:t>
      </w:r>
    </w:p>
    <w:p>
      <w:pPr>
        <w:spacing w:after="0" w:line="16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reports of EY on the Company's financial statements for the fiscal years ended December 31, 2025 and December 31, 2024 did not contain an adverse opinion or a disclaimer of opinion, and were not qualified or modified as to uncertainty, audit scope or accounting principles.</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2025 and December 31, 2024 and through June 29, 2026, there were no: (i) disagreements (as defined in Item 304(a)(1)(iv) of Regulation S-K and the related instructions) with EY on any matter of accounting principles or practices, financial statement disclosure or auditing scope or procedure, which disagreements, if not resolved to the satisfaction of EY, would have caused it to make reference to the subject matter of the disagreements in connection with its reports; or (ii) reportable events (as defined in Item 304(a)(1)(v) of Regulation S-K).</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provided EY with a copy of the disclosures it is making in this Current Report on Form 8-K and has requested that EY furnish a letter addressed to the Securities and Exchange Commission stating whether it agrees with the statements made by the Company in this Current Report on Form 8-K and, if not, stating the respects in which it does not agree. A copy of the letter from EY is attached as Exhibit 16.1 to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Engagement of New Independent Registered Public Accounting Firm</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June 29, 2026, the Audit Committee approved the engagement of KPMG LLP ("KPMG") as the Company's new independent registered public accounting firm, effective as of that date.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2025 and December 31, 2024 and through June 29, 2026, neither the Company nor anyone on its behalf has consulted with KPMG regarding: (i) the application of accounting principles to a specified transaction, either completed or proposed, or the type of audit opinion that might be rendered on the Company's financial statements, and neither a written report nor oral advice was provided to the Company by KPMG that was an important factor considered by the Company in reaching a decision as to any accounting, auditing or financial reporting issue; or (ii) any matter that was either the subject of a disagreement (as defined in Item 304(a)(1)(iv) of Regulation S-K and the related instructions) or a reportable event (as defined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16.1</w:t>
      </w:r>
      <w:r>
        <w:rPr>
          <w:sz w:val="20"/>
          <w:szCs w:val="20"/>
          <w:color w:val="auto"/>
        </w:rPr>
        <w:tab/>
      </w:r>
      <w:r>
        <w:rPr>
          <w:rFonts w:ascii="Times New Roman" w:cs="Times New Roman" w:eastAsia="Times New Roman" w:hAnsi="Times New Roman"/>
          <w:sz w:val="17"/>
          <w:szCs w:val="17"/>
          <w:u w:val="single" w:color="auto"/>
          <w:color w:val="0000EE"/>
        </w:rPr>
        <w:t>Letter from Ernst &amp; Young LLP to the Securities and Exchange Commission, dated July 2,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PRAXIS PRECISION MEDICINES,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Marcio Souza</w:t>
            </w:r>
          </w:p>
        </w:tc>
      </w:tr>
      <w:tr>
        <w:trPr>
          <w:trHeight w:val="191"/>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Marcio Souza</w:t>
            </w:r>
          </w:p>
        </w:tc>
      </w:tr>
      <w:tr>
        <w:trPr>
          <w:trHeight w:val="234"/>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read Item 4.01 of Form 8-K dated June 29, 2026, of Praxis Precision Medicines, Inc. and are in agreement with the statements contained in the second, third and fourth paragraphs. We have no basis to agree or disagree with other statements of the registrant contained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2026-07-02T15:37:08Z</dcterms:created>
  <dcterms:modified xsi:type="dcterms:W3CDTF">2026-07-02T15:37:08Z</dcterms:modified>
</cp:coreProperties>
</file>